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C5EF" w14:textId="77777777" w:rsidR="00C62E43" w:rsidRPr="00A14CB0" w:rsidRDefault="00000000">
      <w:pPr>
        <w:pStyle w:val="Ttulo1"/>
        <w:jc w:val="both"/>
        <w:rPr>
          <w:rFonts w:asciiTheme="majorHAnsi" w:hAnsiTheme="majorHAnsi"/>
        </w:rPr>
      </w:pPr>
      <w:bookmarkStart w:id="0" w:name="bookmark=id.wtkr09z8rm6" w:colFirst="0" w:colLast="0"/>
      <w:bookmarkEnd w:id="0"/>
      <w:r w:rsidRPr="00A14CB0">
        <w:rPr>
          <w:rFonts w:asciiTheme="majorHAnsi" w:hAnsiTheme="majorHAnsi"/>
        </w:rPr>
        <w:t>Ficha 1: El Legado Sonoro Medieval en la Era Digital</w:t>
      </w:r>
    </w:p>
    <w:p w14:paraId="6F0A0689" w14:textId="77777777" w:rsidR="00C62E43" w:rsidRDefault="00000000">
      <w:pPr>
        <w:jc w:val="both"/>
      </w:pPr>
      <w:r>
        <w:t>Un equipo de jóvenes compositores y productores musicales ha sido encargado de crear la banda sonora para un nuevo videojuego de rol de fantasía medieval, "Crónicas de Aethelgard". El director del proyecto ha insistido en que la música debe evocar una auténtica atmósfera medieval, pero a la vez ser atractiva y accesible para una audiencia global contemporánea. El presupuesto es limitado, lo que les obliga a ser creativos con la instrumentación y las técnicas de producción. Deben decidir cómo integrar elementos de la música medieval (canto gregoriano, música profana de trovadores, polifonía temprana e instrumentos de la época) con estilos musicales modernos para lograr un sonido único y envolvente. El desafío es conservar la autenticidad histórica evitando que la música suene monótona o lejana al oído actual, mientras se exploran nuevas texturas sonoras capaces de sorprender al jugador</w:t>
      </w:r>
    </w:p>
    <w:p w14:paraId="6EA9B61F" w14:textId="77777777" w:rsidR="00C62E43" w:rsidRDefault="00000000">
      <w:pPr>
        <w:jc w:val="both"/>
      </w:pPr>
      <w:bookmarkStart w:id="1" w:name="bookmark=id.s8kevzfu3ai" w:colFirst="0" w:colLast="0"/>
      <w:bookmarkEnd w:id="1"/>
      <w:r>
        <w:t>Actividades de Desarrollo</w:t>
      </w:r>
    </w:p>
    <w:p w14:paraId="7FBCB9DF" w14:textId="4F629655" w:rsidR="00C62E43" w:rsidRDefault="00000000">
      <w:pPr>
        <w:numPr>
          <w:ilvl w:val="0"/>
          <w:numId w:val="17"/>
        </w:numPr>
        <w:jc w:val="both"/>
      </w:pPr>
      <w:r>
        <w:rPr>
          <w:b/>
          <w:bCs/>
        </w:rPr>
        <w:t>Análisis y propuesta de instrumentos medievales:</w:t>
      </w:r>
      <w:r>
        <w:t xml:space="preserve"> </w:t>
      </w:r>
      <w:r w:rsidR="00A14CB0">
        <w:t>e</w:t>
      </w:r>
      <w:r>
        <w:t>l equipo debe seleccionar un mínimo de tres instrumentos medievales estudiados en la unidad (cuerda, viento y percusión) y justificar su elección basándose en su sonoridad característica y su potencial para ser adaptados o fusionados con instrumentos modernos. Además, deben proponer un instrumento moderno que complemente a cada uno de los medievales, explicando cómo la combinación crearía una textura sonora innovadora sin perder la esencia medieval.</w:t>
      </w:r>
    </w:p>
    <w:p w14:paraId="06338E89" w14:textId="4B5762FD" w:rsidR="00C62E43" w:rsidRDefault="00000000">
      <w:pPr>
        <w:numPr>
          <w:ilvl w:val="0"/>
          <w:numId w:val="17"/>
        </w:numPr>
        <w:jc w:val="both"/>
      </w:pPr>
      <w:r>
        <w:rPr>
          <w:b/>
          <w:bCs/>
        </w:rPr>
        <w:t>Estrategias de composición polifónica:</w:t>
      </w:r>
      <w:r>
        <w:t xml:space="preserve"> </w:t>
      </w:r>
      <w:r w:rsidR="00A14CB0">
        <w:t>c</w:t>
      </w:r>
      <w:r>
        <w:t xml:space="preserve">onsiderando la aparición de las primeras formas polifónicas en la Edad Media (por ejemplo, el </w:t>
      </w:r>
      <w:r>
        <w:rPr>
          <w:i/>
          <w:iCs/>
        </w:rPr>
        <w:t>organum</w:t>
      </w:r>
      <w:r>
        <w:t>), el equipo debe diseñar dos estrategias diferentes para incorporar elementos polifónicos en la banda sonora del videojuego. Una estrategia debe centrarse en una adaptación directa de técnicas polifónicas medievales (por ejemplo, superponiendo melodías gregorianas con un contrapunto moderno), y la otra en una reinterpretación más libre, utilizando la idea de múltiples voces simultáneas con timbres y armonías contemporáneas. Argumenta las ventajas y desventajas de cada enfoque teniendo en cuenta la autenticidad y su atractivo para el público.</w:t>
      </w:r>
    </w:p>
    <w:p w14:paraId="02EFCE41" w14:textId="77777777" w:rsidR="00C62E43" w:rsidRDefault="00C62E43">
      <w:pPr>
        <w:ind w:left="720"/>
        <w:jc w:val="both"/>
      </w:pPr>
    </w:p>
    <w:p w14:paraId="44C834BB" w14:textId="77777777" w:rsidR="00C62E43" w:rsidRPr="00A14CB0" w:rsidRDefault="00000000">
      <w:pPr>
        <w:pStyle w:val="Ttulo1"/>
        <w:jc w:val="both"/>
        <w:rPr>
          <w:rFonts w:asciiTheme="majorHAnsi" w:hAnsiTheme="majorHAnsi"/>
        </w:rPr>
      </w:pPr>
      <w:bookmarkStart w:id="2" w:name="bookmark=id.1y6j7em738h6" w:colFirst="0" w:colLast="0"/>
      <w:bookmarkEnd w:id="2"/>
      <w:r w:rsidRPr="00A14CB0">
        <w:rPr>
          <w:rFonts w:asciiTheme="majorHAnsi" w:hAnsiTheme="majorHAnsi"/>
        </w:rPr>
        <w:lastRenderedPageBreak/>
        <w:t>Ficha 2: La Música como Espejo Social: Trovadores y Cantautores</w:t>
      </w:r>
    </w:p>
    <w:p w14:paraId="4F9BCEB7" w14:textId="77777777" w:rsidR="00C62E43" w:rsidRDefault="00000000">
      <w:pPr>
        <w:jc w:val="both"/>
      </w:pPr>
      <w:r>
        <w:t>En un festival de música contemporánea, se ha propuesto un debate titulado "Voces del pueblo: de los trovadores a los cantautores". El objetivo es explorar las similitudes y diferencias en el papel social, temático y musical de los trovadores y troveros medievales con los cantautores modernos. Un grupo de estudiantes de música y sociología ha sido invitado a preparar una presentación que no solo compare ambos fenómenos, sino que también proponga cómo la música puede seguir siendo una herramienta efectiva para la crítica social y la expresión cultural en el siglo XXI, enfrentándose a los desafíos de la globalización y la digitalización. Deben tener en cuenta cómo la evolución de los medios de difusión y la diversidad cultural influyen en la creación y recepción de estas “voces del pueblo”.</w:t>
      </w:r>
    </w:p>
    <w:p w14:paraId="275618BA" w14:textId="77777777" w:rsidR="00C62E43" w:rsidRPr="00A14CB0" w:rsidRDefault="00000000">
      <w:pPr>
        <w:pStyle w:val="Ttulo2"/>
        <w:jc w:val="both"/>
        <w:rPr>
          <w:rFonts w:asciiTheme="majorHAnsi" w:hAnsiTheme="majorHAnsi"/>
        </w:rPr>
      </w:pPr>
      <w:bookmarkStart w:id="3" w:name="bookmark=id.l3xrpmwzkt02" w:colFirst="0" w:colLast="0"/>
      <w:bookmarkEnd w:id="3"/>
      <w:r w:rsidRPr="00A14CB0">
        <w:rPr>
          <w:rFonts w:asciiTheme="majorHAnsi" w:hAnsiTheme="majorHAnsi"/>
        </w:rPr>
        <w:t>Actividades de Desarrollo</w:t>
      </w:r>
    </w:p>
    <w:p w14:paraId="2CFF4DAC" w14:textId="24C7B052" w:rsidR="00C62E43" w:rsidRDefault="00000000">
      <w:pPr>
        <w:numPr>
          <w:ilvl w:val="0"/>
          <w:numId w:val="18"/>
        </w:numPr>
        <w:jc w:val="both"/>
      </w:pPr>
      <w:r>
        <w:rPr>
          <w:b/>
          <w:bCs/>
        </w:rPr>
        <w:t>Análisis comparativo de temáticas y lenguaje:</w:t>
      </w:r>
      <w:r>
        <w:t xml:space="preserve"> </w:t>
      </w:r>
      <w:r w:rsidR="00A14CB0">
        <w:t>s</w:t>
      </w:r>
      <w:r>
        <w:t>elecciona una cantiga de Alfonso X el Sabio o una canción de un trovador medieval (menciona el título y, si es posible, el autor) y compárala con una canción de un cantautor moderno (también título y autor) que aborde una temática similar (amor, guerra, crítica social, etc.). Analiza cómo se expresa el mensaje en cada una, prestando atención al lenguaje utilizado (provenzal, galaicoportugués o lenguas modernas), la estructura poética y la forma en que la música refuerza el contenido lírico. ¿Qué elementos crees que han permanecido inalterables en la expresión musical de estas temáticas a lo largo de los siglos, y cuáles han evolucionado significativamente?</w:t>
      </w:r>
    </w:p>
    <w:p w14:paraId="59537881" w14:textId="33E5805F" w:rsidR="00C62E43" w:rsidRDefault="00000000">
      <w:pPr>
        <w:numPr>
          <w:ilvl w:val="0"/>
          <w:numId w:val="18"/>
        </w:numPr>
        <w:jc w:val="both"/>
      </w:pPr>
      <w:r>
        <w:rPr>
          <w:b/>
          <w:bCs/>
        </w:rPr>
        <w:t>El impacto de la tecnología en la difusión musical:</w:t>
      </w:r>
      <w:r>
        <w:t xml:space="preserve"> </w:t>
      </w:r>
      <w:r w:rsidR="00A14CB0">
        <w:t>l</w:t>
      </w:r>
      <w:r>
        <w:t>os trovadores dependían de juglares y ministriles para difundir su música, mientras que los cantautores modernos utilizan plataformas digitales, redes sociales o conciertos en salas o teatros. Analiza cómo la tecnología ha transformado radicalmente la difusión y el alcance de la música con mensaje social. Propón una estrategia innovadora para que un cantautor o cantautora actual maximice el impacto de su música en una causa social específica, utilizando las herramientas digitales disponibles, pero también considerando la importancia de la interacción directa con el público, similar a la que se daba en las plazas medievales.</w:t>
      </w:r>
    </w:p>
    <w:p w14:paraId="7242CF77" w14:textId="3A29A5C2" w:rsidR="00C62E43" w:rsidRDefault="00000000">
      <w:pPr>
        <w:numPr>
          <w:ilvl w:val="0"/>
          <w:numId w:val="18"/>
        </w:numPr>
        <w:jc w:val="both"/>
      </w:pPr>
      <w:r>
        <w:rPr>
          <w:b/>
          <w:bCs/>
        </w:rPr>
        <w:t>La música árabe como influencia cultural:</w:t>
      </w:r>
      <w:r>
        <w:t xml:space="preserve"> </w:t>
      </w:r>
      <w:r w:rsidR="00A14CB0">
        <w:t>l</w:t>
      </w:r>
      <w:r>
        <w:t xml:space="preserve">a unidad menciona la música árabe. Investiga brevemente sobre la influencia de la cultura árabe en la Península Ibérica durante la Edad Media, especialmente en la música (por ejemplo, a través de </w:t>
      </w:r>
      <w:r>
        <w:lastRenderedPageBreak/>
        <w:t>instrumentos o modos melódicos). Luego, reflexiona sobre cómo esta influencia histórica podría servir de inspiración para un cantautor o cantautora actual que busque crear un mensaje de diálogo intercultural. Diseña un concepto para una canción que fusione elementos de la música de cantautor con características de la música árabe (modos, instrumentación, ornamentación, etc.), explicando cómo esta fusión podría enriquecer el mensaje de la canción y promover la comprensión entre culturas.</w:t>
      </w:r>
    </w:p>
    <w:p w14:paraId="081E09EF" w14:textId="77777777" w:rsidR="00C62E43" w:rsidRPr="00A14CB0" w:rsidRDefault="00000000">
      <w:pPr>
        <w:pStyle w:val="Ttulo1"/>
        <w:jc w:val="both"/>
        <w:rPr>
          <w:rFonts w:asciiTheme="majorHAnsi" w:hAnsiTheme="majorHAnsi"/>
        </w:rPr>
      </w:pPr>
      <w:bookmarkStart w:id="4" w:name="bookmark=id.d91e1lcrw14" w:colFirst="0" w:colLast="0"/>
      <w:bookmarkEnd w:id="4"/>
      <w:r w:rsidRPr="00A14CB0">
        <w:rPr>
          <w:rFonts w:asciiTheme="majorHAnsi" w:hAnsiTheme="majorHAnsi"/>
        </w:rPr>
        <w:t>Soluciones de las Actividades</w:t>
      </w:r>
    </w:p>
    <w:p w14:paraId="036FD97D" w14:textId="77777777" w:rsidR="00C62E43" w:rsidRPr="00A14CB0" w:rsidRDefault="00000000">
      <w:pPr>
        <w:pStyle w:val="Ttulo2"/>
        <w:jc w:val="both"/>
        <w:rPr>
          <w:rFonts w:asciiTheme="majorHAnsi" w:hAnsiTheme="majorHAnsi"/>
        </w:rPr>
      </w:pPr>
      <w:bookmarkStart w:id="5" w:name="bookmark=id.r50zp3veu0fu" w:colFirst="0" w:colLast="0"/>
      <w:bookmarkEnd w:id="5"/>
      <w:r w:rsidRPr="00A14CB0">
        <w:rPr>
          <w:rFonts w:asciiTheme="majorHAnsi" w:hAnsiTheme="majorHAnsi"/>
        </w:rPr>
        <w:t>Soluciones Ficha 1: El Legado Sonoro Medieval en la Era Digital</w:t>
      </w:r>
    </w:p>
    <w:p w14:paraId="74F744B5" w14:textId="29838B8F" w:rsidR="00C62E43" w:rsidRDefault="00000000">
      <w:pPr>
        <w:numPr>
          <w:ilvl w:val="0"/>
          <w:numId w:val="19"/>
        </w:numPr>
        <w:jc w:val="both"/>
      </w:pPr>
      <w:r>
        <w:rPr>
          <w:b/>
          <w:bCs/>
        </w:rPr>
        <w:t>Análisis y propuesta de instrumentos medievales:</w:t>
      </w:r>
    </w:p>
    <w:p w14:paraId="4D13CBB7" w14:textId="19565204" w:rsidR="00C62E43" w:rsidRDefault="00000000">
      <w:pPr>
        <w:numPr>
          <w:ilvl w:val="1"/>
          <w:numId w:val="20"/>
        </w:numPr>
        <w:jc w:val="both"/>
      </w:pPr>
      <w:r>
        <w:rPr>
          <w:b/>
          <w:bCs/>
        </w:rPr>
        <w:t>Instrumento de cuerda medieval:</w:t>
      </w:r>
      <w:r>
        <w:t xml:space="preserve"> </w:t>
      </w:r>
      <w:r w:rsidR="00A14CB0">
        <w:t>l</w:t>
      </w:r>
      <w:r>
        <w:t>aúd. Su sonido dulce y melancólico es ideal para melodías de acompañamiento o solos con carácter expresivo.</w:t>
      </w:r>
    </w:p>
    <w:p w14:paraId="0B7AFDFB" w14:textId="1E65E430" w:rsidR="00C62E43" w:rsidRDefault="00000000">
      <w:pPr>
        <w:numPr>
          <w:ilvl w:val="2"/>
          <w:numId w:val="21"/>
        </w:numPr>
        <w:jc w:val="both"/>
      </w:pPr>
      <w:r>
        <w:rPr>
          <w:b/>
          <w:bCs/>
        </w:rPr>
        <w:t>Instrumento moderno complementario:</w:t>
      </w:r>
      <w:r>
        <w:t xml:space="preserve"> </w:t>
      </w:r>
      <w:r w:rsidR="00A14CB0">
        <w:t>g</w:t>
      </w:r>
      <w:r>
        <w:t>uitarra acústica con cuerdas de nylon. La combinación de laúd y guitarra acústica podría crear una textura rica y familiar, donde el laúd aporta el timbre histórico y la guitarra la versatilidad armónica y rítmica moderna. Se podría usar el laúd para líneas melódicas principales o arpegios, y la guitarra para acordes de acompañamiento o contramelodías.</w:t>
      </w:r>
    </w:p>
    <w:p w14:paraId="086E3923" w14:textId="7035E301" w:rsidR="00C62E43" w:rsidRDefault="00000000">
      <w:pPr>
        <w:numPr>
          <w:ilvl w:val="1"/>
          <w:numId w:val="20"/>
        </w:numPr>
        <w:jc w:val="both"/>
      </w:pPr>
      <w:r>
        <w:rPr>
          <w:b/>
          <w:bCs/>
        </w:rPr>
        <w:t>Instrumento de viento medieval:</w:t>
      </w:r>
      <w:r>
        <w:t xml:space="preserve"> </w:t>
      </w:r>
      <w:r w:rsidR="00A14CB0">
        <w:t>f</w:t>
      </w:r>
      <w:r>
        <w:t>lauta dulce (o flauta travesera medieval). Su sonido claro y penetrante es perfecto para melodías principales o pasajes líricos.</w:t>
      </w:r>
    </w:p>
    <w:p w14:paraId="0792BAFA" w14:textId="7A844D46" w:rsidR="00C62E43" w:rsidRDefault="00000000">
      <w:pPr>
        <w:numPr>
          <w:ilvl w:val="2"/>
          <w:numId w:val="22"/>
        </w:numPr>
        <w:jc w:val="both"/>
      </w:pPr>
      <w:r>
        <w:rPr>
          <w:b/>
          <w:bCs/>
        </w:rPr>
        <w:t>Instrumento moderno complementario:</w:t>
      </w:r>
      <w:r>
        <w:t xml:space="preserve"> </w:t>
      </w:r>
      <w:r w:rsidR="00A14CB0">
        <w:t>o</w:t>
      </w:r>
      <w:r>
        <w:t>boe o clarinete. Estos instrumentos de viento-madera modernos pueden emular la expresividad de las flautas medievales, pero con un rango dinámico y tímbrico más amplio. La flauta dulce podría mantener la autenticidad en pasajes solistas, mientras que el oboe o clarinete añadirían profundidad y riqueza en secciones orquestales o de conjunto, creando un contraste interesante entre lo antiguo y lo nuevo.</w:t>
      </w:r>
    </w:p>
    <w:p w14:paraId="231BB255" w14:textId="40C138ED" w:rsidR="00C62E43" w:rsidRDefault="00000000">
      <w:pPr>
        <w:numPr>
          <w:ilvl w:val="1"/>
          <w:numId w:val="20"/>
        </w:numPr>
        <w:jc w:val="both"/>
      </w:pPr>
      <w:r>
        <w:rPr>
          <w:b/>
          <w:bCs/>
        </w:rPr>
        <w:t>Instrumento de percusión medieval:</w:t>
      </w:r>
      <w:r>
        <w:t xml:space="preserve"> </w:t>
      </w:r>
      <w:r w:rsidR="00A14CB0">
        <w:rPr>
          <w:i/>
          <w:iCs/>
        </w:rPr>
        <w:t>d</w:t>
      </w:r>
      <w:r>
        <w:rPr>
          <w:i/>
          <w:iCs/>
        </w:rPr>
        <w:t>arbukka</w:t>
      </w:r>
      <w:r>
        <w:t xml:space="preserve"> (o tambor de marco). Aporta un ritmo marcado y profundo, fundamental para la música profana y las danzas.</w:t>
      </w:r>
    </w:p>
    <w:p w14:paraId="7895327A" w14:textId="052D98F6" w:rsidR="00C62E43" w:rsidRDefault="00000000">
      <w:pPr>
        <w:numPr>
          <w:ilvl w:val="2"/>
          <w:numId w:val="1"/>
        </w:numPr>
        <w:jc w:val="both"/>
      </w:pPr>
      <w:r>
        <w:rPr>
          <w:b/>
          <w:bCs/>
        </w:rPr>
        <w:lastRenderedPageBreak/>
        <w:t>Instrumento moderno complementario:</w:t>
      </w:r>
      <w:r>
        <w:t xml:space="preserve"> </w:t>
      </w:r>
      <w:r w:rsidR="00A14CB0">
        <w:t>b</w:t>
      </w:r>
      <w:r>
        <w:t xml:space="preserve">atería electrónica o percusión de orquesta (timbales, bombo, etc.). La </w:t>
      </w:r>
      <w:r>
        <w:rPr>
          <w:i/>
          <w:iCs/>
        </w:rPr>
        <w:t>darbukka</w:t>
      </w:r>
      <w:r>
        <w:t xml:space="preserve"> mantendría el pulso rítmico con un sabor étnico y antiguo, mientras que la batería electrónica o la percusión orquestal podrían añadir capas rítmicas más complejas, efectos sonoros y una mayor potencia para momentos de acción o épicos. Esto permitiría una base rítmica que es a la vez tradicional y adaptable a la intensidad de un videojuego moderno.</w:t>
      </w:r>
    </w:p>
    <w:p w14:paraId="0EBE7D17" w14:textId="77777777" w:rsidR="00C62E43" w:rsidRDefault="00000000">
      <w:pPr>
        <w:numPr>
          <w:ilvl w:val="1"/>
          <w:numId w:val="20"/>
        </w:numPr>
        <w:jc w:val="both"/>
      </w:pPr>
      <w:r>
        <w:rPr>
          <w:b/>
          <w:bCs/>
        </w:rPr>
        <w:t>Estrategias de composición polifónica:</w:t>
      </w:r>
    </w:p>
    <w:p w14:paraId="3CD19E1E" w14:textId="7656D864" w:rsidR="00C62E43" w:rsidRDefault="00000000">
      <w:pPr>
        <w:numPr>
          <w:ilvl w:val="2"/>
          <w:numId w:val="2"/>
        </w:numPr>
        <w:jc w:val="both"/>
      </w:pPr>
      <w:r>
        <w:rPr>
          <w:b/>
          <w:bCs/>
        </w:rPr>
        <w:t>Estrategia 1: Adaptación directa (Organum Moderno):</w:t>
      </w:r>
      <w:r>
        <w:t xml:space="preserve"> </w:t>
      </w:r>
      <w:r w:rsidR="00A14CB0">
        <w:t>s</w:t>
      </w:r>
      <w:r>
        <w:t xml:space="preserve">e podría tomar una melodía modal (similar a un canto gregoriano) como </w:t>
      </w:r>
      <w:r>
        <w:rPr>
          <w:i/>
          <w:iCs/>
        </w:rPr>
        <w:t>vox principalis</w:t>
      </w:r>
      <w:r>
        <w:t xml:space="preserve"> y superponer una o dos voces adicionales (la </w:t>
      </w:r>
      <w:r>
        <w:rPr>
          <w:i/>
          <w:iCs/>
        </w:rPr>
        <w:t>vox organalis</w:t>
      </w:r>
      <w:r>
        <w:t xml:space="preserve">) que se muevan en intervalos de cuartas, quintas u octavas paralelas, pero con la adición de texturas sonoras modernas. Por ejemplo, la </w:t>
      </w:r>
      <w:r>
        <w:rPr>
          <w:i/>
          <w:iCs/>
        </w:rPr>
        <w:t>vox principalis</w:t>
      </w:r>
      <w:r>
        <w:t xml:space="preserve"> podría ser cantada por un coro masculino en latín, mientras que la </w:t>
      </w:r>
      <w:r>
        <w:rPr>
          <w:i/>
          <w:iCs/>
        </w:rPr>
        <w:t>vox organalis</w:t>
      </w:r>
      <w:r>
        <w:t xml:space="preserve"> se ejecuta con sintetizadores o instrumentos de cuerda de la orquesta que mantienen la estructura de intervalos medievales, pero con un timbre contemporáneo.</w:t>
      </w:r>
    </w:p>
    <w:p w14:paraId="50ABB8AB" w14:textId="596F0309" w:rsidR="00C62E43" w:rsidRDefault="00000000">
      <w:pPr>
        <w:numPr>
          <w:ilvl w:val="3"/>
          <w:numId w:val="3"/>
        </w:numPr>
        <w:jc w:val="both"/>
      </w:pPr>
      <w:r>
        <w:rPr>
          <w:b/>
          <w:bCs/>
        </w:rPr>
        <w:t>Ventajas:</w:t>
      </w:r>
      <w:r>
        <w:t xml:space="preserve"> ​​</w:t>
      </w:r>
      <w:r w:rsidR="00A14CB0">
        <w:t>g</w:t>
      </w:r>
      <w:r>
        <w:t>ran fidelidad histórica y un sonido claramente medieval, capaz de crear una atmósfera mística o solemne.</w:t>
      </w:r>
    </w:p>
    <w:p w14:paraId="66D854CE" w14:textId="0C6E368B" w:rsidR="00C62E43" w:rsidRDefault="00000000">
      <w:pPr>
        <w:numPr>
          <w:ilvl w:val="3"/>
          <w:numId w:val="3"/>
        </w:numPr>
        <w:jc w:val="both"/>
      </w:pPr>
      <w:r>
        <w:rPr>
          <w:b/>
          <w:bCs/>
        </w:rPr>
        <w:t>Desventajas:</w:t>
      </w:r>
      <w:r>
        <w:t xml:space="preserve"> </w:t>
      </w:r>
      <w:r w:rsidR="00A14CB0">
        <w:t>p</w:t>
      </w:r>
      <w:r>
        <w:t>ara algunos jugadores puede sonar excesivamente antiguo o monótono; además, apreciar la sutileza de la polifonía temprana requiere un oído más entrenado, lo que puede reducir su impacto emocional.</w:t>
      </w:r>
    </w:p>
    <w:p w14:paraId="143A5721" w14:textId="64BF9821" w:rsidR="00C62E43" w:rsidRDefault="00000000">
      <w:pPr>
        <w:numPr>
          <w:ilvl w:val="2"/>
          <w:numId w:val="2"/>
        </w:numPr>
        <w:jc w:val="both"/>
      </w:pPr>
      <w:r>
        <w:rPr>
          <w:b/>
          <w:bCs/>
        </w:rPr>
        <w:t>Estrategia 2: Reinterpretación libre:</w:t>
      </w:r>
      <w:r>
        <w:t xml:space="preserve"> </w:t>
      </w:r>
      <w:r w:rsidR="00A14CB0">
        <w:t>e</w:t>
      </w:r>
      <w:r>
        <w:t>n lugar de centrarse en intervalos estrictos, se podría crear una polifonía basada en la superposición de diferentes timbres instrumentales y vocales, cada uno con su propia línea melódica independiente, pero que armonicen en un contexto tonal o modal más amplio. Por ejemplo, una melodía principal interpretada por un laúd, una contramelodía por una flauta dulce, un bajo sostenido por un órgano de tubos virtual y un coro etéreo cantando sílabas sin texto. Las armonías podrían ser más complejas que las medievales, pero los modos (como el modo de re) se mantendrían para evocar la época.</w:t>
      </w:r>
    </w:p>
    <w:p w14:paraId="1D2D3CDF" w14:textId="38F4CDFC" w:rsidR="00C62E43" w:rsidRDefault="00000000">
      <w:pPr>
        <w:numPr>
          <w:ilvl w:val="3"/>
          <w:numId w:val="4"/>
        </w:numPr>
        <w:jc w:val="both"/>
      </w:pPr>
      <w:r>
        <w:rPr>
          <w:b/>
          <w:bCs/>
        </w:rPr>
        <w:lastRenderedPageBreak/>
        <w:t>Ventajas:</w:t>
      </w:r>
      <w:r>
        <w:t xml:space="preserve"> </w:t>
      </w:r>
      <w:r w:rsidR="00A14CB0">
        <w:t>m</w:t>
      </w:r>
      <w:r>
        <w:t>ayor libertad creativa, un sonido más accesible y atractivo para una audiencia moderna, y permite una gama más amplia de emociones y dinámicas.</w:t>
      </w:r>
    </w:p>
    <w:p w14:paraId="6B84ED1C" w14:textId="789D46D7" w:rsidR="00C62E43" w:rsidRDefault="00000000">
      <w:pPr>
        <w:numPr>
          <w:ilvl w:val="3"/>
          <w:numId w:val="4"/>
        </w:numPr>
        <w:jc w:val="both"/>
      </w:pPr>
      <w:r>
        <w:rPr>
          <w:b/>
          <w:bCs/>
        </w:rPr>
        <w:t>Desventajas:</w:t>
      </w:r>
      <w:r>
        <w:t xml:space="preserve"> </w:t>
      </w:r>
      <w:r w:rsidR="00A14CB0">
        <w:t>m</w:t>
      </w:r>
      <w:r>
        <w:t>enor fidelidad a las técnicas polifónicas medievales originales, riesgo de que el sonido resulte genérico si no se manejan correctamente los elementos medievales, y puede requerir más experimentación para lograr el equilibrio adecuado.</w:t>
      </w:r>
    </w:p>
    <w:p w14:paraId="65892A8E" w14:textId="77777777" w:rsidR="00C62E43" w:rsidRPr="00A14CB0" w:rsidRDefault="00000000">
      <w:pPr>
        <w:pStyle w:val="Ttulo2"/>
        <w:jc w:val="both"/>
        <w:rPr>
          <w:rFonts w:asciiTheme="majorHAnsi" w:hAnsiTheme="majorHAnsi"/>
        </w:rPr>
      </w:pPr>
      <w:bookmarkStart w:id="6" w:name="bookmark=id.tf7qkbsog1vo" w:colFirst="0" w:colLast="0"/>
      <w:bookmarkEnd w:id="6"/>
      <w:r w:rsidRPr="00A14CB0">
        <w:rPr>
          <w:rFonts w:asciiTheme="majorHAnsi" w:hAnsiTheme="majorHAnsi"/>
        </w:rPr>
        <w:t>Soluciones Ficha 2: La Música como Espejo Social: Trovadores y Cantautores</w:t>
      </w:r>
    </w:p>
    <w:p w14:paraId="5A326C44" w14:textId="77777777" w:rsidR="00C62E43" w:rsidRDefault="00000000">
      <w:pPr>
        <w:numPr>
          <w:ilvl w:val="0"/>
          <w:numId w:val="5"/>
        </w:numPr>
        <w:jc w:val="both"/>
      </w:pPr>
      <w:r>
        <w:rPr>
          <w:b/>
          <w:bCs/>
        </w:rPr>
        <w:t>Análisis comparativo de temáticas y lenguaje:</w:t>
      </w:r>
    </w:p>
    <w:p w14:paraId="5B704F02" w14:textId="77777777" w:rsidR="00C62E43" w:rsidRDefault="00000000">
      <w:pPr>
        <w:numPr>
          <w:ilvl w:val="1"/>
          <w:numId w:val="6"/>
        </w:numPr>
        <w:jc w:val="both"/>
      </w:pPr>
      <w:r>
        <w:rPr>
          <w:b/>
          <w:bCs/>
        </w:rPr>
        <w:t>Cantiga Medieval:</w:t>
      </w:r>
      <w:r>
        <w:t xml:space="preserve"> </w:t>
      </w:r>
      <w:r>
        <w:rPr>
          <w:i/>
          <w:iCs/>
        </w:rPr>
        <w:t>Cantiga de Santa María n.º 100</w:t>
      </w:r>
      <w:r>
        <w:t xml:space="preserve"> ("Santa María, strela do día") de Alfonso X el Sabio.</w:t>
      </w:r>
    </w:p>
    <w:p w14:paraId="7E93E58D" w14:textId="15009AC0" w:rsidR="00C62E43" w:rsidRDefault="00000000">
      <w:pPr>
        <w:numPr>
          <w:ilvl w:val="2"/>
          <w:numId w:val="7"/>
        </w:numPr>
        <w:jc w:val="both"/>
      </w:pPr>
      <w:r>
        <w:rPr>
          <w:b/>
          <w:bCs/>
        </w:rPr>
        <w:t>Temática:</w:t>
      </w:r>
      <w:r>
        <w:t xml:space="preserve"> </w:t>
      </w:r>
      <w:r w:rsidR="00A14CB0">
        <w:t>a</w:t>
      </w:r>
      <w:r>
        <w:t>labanza a la Virgen María, milagros e intercesión divina. Aunque religiosa, su estructura y lenguaje la clasifican como música profana.</w:t>
      </w:r>
    </w:p>
    <w:p w14:paraId="0ADA4CA9" w14:textId="77777777" w:rsidR="00C62E43" w:rsidRDefault="00000000">
      <w:pPr>
        <w:numPr>
          <w:ilvl w:val="2"/>
          <w:numId w:val="7"/>
        </w:numPr>
        <w:jc w:val="both"/>
      </w:pPr>
      <w:r>
        <w:rPr>
          <w:b/>
          <w:bCs/>
        </w:rPr>
        <w:t>Lenguaje y forma musical:</w:t>
      </w:r>
      <w:r>
        <w:t xml:space="preserve"> Galaicoportugués. Estructura de estribillo y estrofa. El lenguaje es poético y descriptivo, centrado en la narrativa de los milagros.</w:t>
      </w:r>
    </w:p>
    <w:p w14:paraId="73BB9B60" w14:textId="77777777" w:rsidR="00C62E43" w:rsidRDefault="00000000">
      <w:pPr>
        <w:numPr>
          <w:ilvl w:val="2"/>
          <w:numId w:val="7"/>
        </w:numPr>
        <w:jc w:val="both"/>
      </w:pPr>
      <w:r>
        <w:rPr>
          <w:b/>
          <w:bCs/>
        </w:rPr>
        <w:t>Música:</w:t>
      </w:r>
      <w:r>
        <w:t xml:space="preserve"> textura monódica con acompañamiento instrumental y ritmo marcado. La melodía es sencilla y pegadiza, diseñada para ser recordada y cantada por el pueblo.</w:t>
      </w:r>
    </w:p>
    <w:p w14:paraId="7F44A39D" w14:textId="77777777" w:rsidR="00C62E43" w:rsidRDefault="00000000">
      <w:pPr>
        <w:numPr>
          <w:ilvl w:val="1"/>
          <w:numId w:val="6"/>
        </w:numPr>
        <w:jc w:val="both"/>
      </w:pPr>
      <w:r>
        <w:rPr>
          <w:b/>
          <w:bCs/>
        </w:rPr>
        <w:t>Canción de cantautor moderno:</w:t>
      </w:r>
      <w:r>
        <w:t xml:space="preserve"> "Burka" de Pedro Guerra.</w:t>
      </w:r>
    </w:p>
    <w:p w14:paraId="0745B40D" w14:textId="32FA79A8" w:rsidR="00C62E43" w:rsidRDefault="00000000">
      <w:pPr>
        <w:numPr>
          <w:ilvl w:val="2"/>
          <w:numId w:val="8"/>
        </w:numPr>
        <w:jc w:val="both"/>
      </w:pPr>
      <w:r>
        <w:rPr>
          <w:b/>
          <w:bCs/>
        </w:rPr>
        <w:t>Temática:</w:t>
      </w:r>
      <w:r>
        <w:t xml:space="preserve"> </w:t>
      </w:r>
      <w:r w:rsidR="00A14CB0">
        <w:t>c</w:t>
      </w:r>
      <w:r>
        <w:t>rítica social, denuncia de la discriminación de género y la opresión de la mujer a lo largo de la historia.</w:t>
      </w:r>
    </w:p>
    <w:p w14:paraId="18190D7F" w14:textId="55311392" w:rsidR="00C62E43" w:rsidRDefault="00000000">
      <w:pPr>
        <w:numPr>
          <w:ilvl w:val="2"/>
          <w:numId w:val="8"/>
        </w:numPr>
        <w:jc w:val="both"/>
      </w:pPr>
      <w:r>
        <w:rPr>
          <w:b/>
          <w:bCs/>
        </w:rPr>
        <w:t>Lenguaje:</w:t>
      </w:r>
      <w:r w:rsidR="00A14CB0">
        <w:t xml:space="preserve"> español</w:t>
      </w:r>
      <w:r>
        <w:t xml:space="preserve"> moderno. Estructura de verso-estribillo. El lenguaje es directo, metafórico y cargado de simbolismo social y político.</w:t>
      </w:r>
    </w:p>
    <w:p w14:paraId="14279283" w14:textId="77777777" w:rsidR="00C62E43" w:rsidRDefault="00000000">
      <w:pPr>
        <w:numPr>
          <w:ilvl w:val="2"/>
          <w:numId w:val="8"/>
        </w:numPr>
        <w:jc w:val="both"/>
      </w:pPr>
      <w:r>
        <w:rPr>
          <w:b/>
          <w:bCs/>
        </w:rPr>
        <w:t>Música:</w:t>
      </w:r>
      <w:r>
        <w:t xml:space="preserve"> melodía vocal con acompañamiento de guitarra acústical. La melodía es emotiva y la armonía funcional, diseñada para resaltar la letra y el mensaje.</w:t>
      </w:r>
    </w:p>
    <w:p w14:paraId="4D2C691B" w14:textId="77777777" w:rsidR="00C62E43" w:rsidRDefault="00000000">
      <w:pPr>
        <w:numPr>
          <w:ilvl w:val="1"/>
          <w:numId w:val="6"/>
        </w:numPr>
        <w:jc w:val="both"/>
      </w:pPr>
      <w:r>
        <w:rPr>
          <w:b/>
          <w:bCs/>
        </w:rPr>
        <w:lastRenderedPageBreak/>
        <w:t>Elementos musicales permanentes y procesos de cambio:</w:t>
      </w:r>
    </w:p>
    <w:p w14:paraId="3BC90F85" w14:textId="23F0C758" w:rsidR="00C62E43" w:rsidRDefault="00000000">
      <w:pPr>
        <w:numPr>
          <w:ilvl w:val="2"/>
          <w:numId w:val="9"/>
        </w:numPr>
        <w:jc w:val="both"/>
      </w:pPr>
      <w:r>
        <w:rPr>
          <w:b/>
          <w:bCs/>
        </w:rPr>
        <w:t>Permanentes:</w:t>
      </w:r>
      <w:r>
        <w:t xml:space="preserve"> </w:t>
      </w:r>
      <w:r w:rsidR="00A14CB0">
        <w:t>l</w:t>
      </w:r>
      <w:r>
        <w:t xml:space="preserve">a música como vehículo para narrar historias y transmitir mensajes (ya sean religiosos o sociales). La importancia de la melodía y la letra para conectar con el público. La figura del autor, anónima en el </w:t>
      </w:r>
      <w:r w:rsidR="00A14CB0">
        <w:t>gregoriano,</w:t>
      </w:r>
      <w:r>
        <w:t xml:space="preserve"> pero reconocida en los trovadores, como voz que interpreta y difunde una visión del mundo.</w:t>
      </w:r>
    </w:p>
    <w:p w14:paraId="2B652B92" w14:textId="42E33269" w:rsidR="00C62E43" w:rsidRDefault="00000000">
      <w:pPr>
        <w:numPr>
          <w:ilvl w:val="2"/>
          <w:numId w:val="9"/>
        </w:numPr>
        <w:jc w:val="both"/>
      </w:pPr>
      <w:r>
        <w:rPr>
          <w:b/>
          <w:bCs/>
        </w:rPr>
        <w:t>Evolución:</w:t>
      </w:r>
      <w:r>
        <w:t xml:space="preserve"> </w:t>
      </w:r>
      <w:r w:rsidR="00A14CB0">
        <w:t>e</w:t>
      </w:r>
      <w:r>
        <w:t>l cambio del provenzal, francés antiguo o galaicoportugués a las lenguas vernáculas modernas, ampliando la accesibilidad del mensaje. La evolución de la monodia a la polifonía y a estructuras armónicas más complejas. La temática se ha secularizado, pasando de lo divino a lo humano, social y político. La instrumentación ha cambiado drásticamente, ofreciendo una paleta sonora mucho más amplia.</w:t>
      </w:r>
    </w:p>
    <w:p w14:paraId="63455A1A" w14:textId="77777777" w:rsidR="00C62E43" w:rsidRDefault="00000000">
      <w:pPr>
        <w:numPr>
          <w:ilvl w:val="0"/>
          <w:numId w:val="5"/>
        </w:numPr>
        <w:jc w:val="both"/>
      </w:pPr>
      <w:r>
        <w:rPr>
          <w:b/>
          <w:bCs/>
        </w:rPr>
        <w:t>El impacto de la tecnología en la difusión musical:</w:t>
      </w:r>
    </w:p>
    <w:p w14:paraId="769E7E05" w14:textId="3E5896BD" w:rsidR="00C62E43" w:rsidRDefault="00000000">
      <w:pPr>
        <w:numPr>
          <w:ilvl w:val="1"/>
          <w:numId w:val="10"/>
        </w:numPr>
        <w:jc w:val="both"/>
      </w:pPr>
      <w:r>
        <w:rPr>
          <w:b/>
          <w:bCs/>
        </w:rPr>
        <w:t>Análisis:</w:t>
      </w:r>
      <w:r>
        <w:t xml:space="preserve"> </w:t>
      </w:r>
      <w:r w:rsidR="00A14CB0">
        <w:t>l</w:t>
      </w:r>
      <w:r>
        <w:t>a tecnología ha democratizado la producción y distribución musical. Un cantautor o cantautora puede grabar y subir su música a plataformas globales con una inversión mínima, llegando a millones de personas de manera instantánea. Las redes sociales permiten la interacción directa con los fans, la creación de comunidades y la movilización en torno a causas de diversa índole. Sin embargo, también existe el desafío de la sobresaturación de contenido y las dificultades para obtener ingresos por la música.</w:t>
      </w:r>
    </w:p>
    <w:p w14:paraId="39557935" w14:textId="77777777" w:rsidR="00C62E43" w:rsidRDefault="00000000">
      <w:pPr>
        <w:numPr>
          <w:ilvl w:val="1"/>
          <w:numId w:val="10"/>
        </w:numPr>
        <w:jc w:val="both"/>
      </w:pPr>
      <w:r>
        <w:rPr>
          <w:b/>
          <w:bCs/>
        </w:rPr>
        <w:t>Estrategia innovadora para promover una causa social (Ejemplo: Conciencia Climática):</w:t>
      </w:r>
    </w:p>
    <w:p w14:paraId="1F17B59B" w14:textId="77777777" w:rsidR="00C62E43" w:rsidRDefault="00000000">
      <w:pPr>
        <w:numPr>
          <w:ilvl w:val="2"/>
          <w:numId w:val="11"/>
        </w:numPr>
        <w:jc w:val="both"/>
      </w:pPr>
      <w:r>
        <w:rPr>
          <w:b/>
          <w:bCs/>
        </w:rPr>
        <w:t>Concepto:</w:t>
      </w:r>
      <w:r>
        <w:t xml:space="preserve"> Crear una campaña musical transmedia llamada "Ecos del Mañana".</w:t>
      </w:r>
    </w:p>
    <w:p w14:paraId="6B9EBC7E" w14:textId="77777777" w:rsidR="00C62E43" w:rsidRDefault="00000000">
      <w:pPr>
        <w:numPr>
          <w:ilvl w:val="2"/>
          <w:numId w:val="11"/>
        </w:numPr>
        <w:jc w:val="both"/>
      </w:pPr>
      <w:r>
        <w:rPr>
          <w:b/>
          <w:bCs/>
        </w:rPr>
        <w:t>Herramientas Digitales:</w:t>
      </w:r>
    </w:p>
    <w:p w14:paraId="43B22F06" w14:textId="4549E459" w:rsidR="00C62E43" w:rsidRDefault="00000000">
      <w:pPr>
        <w:numPr>
          <w:ilvl w:val="3"/>
          <w:numId w:val="12"/>
        </w:numPr>
        <w:jc w:val="both"/>
      </w:pPr>
      <w:r>
        <w:rPr>
          <w:b/>
          <w:bCs/>
        </w:rPr>
        <w:t>Plataforma:</w:t>
      </w:r>
      <w:r>
        <w:t xml:space="preserve"> </w:t>
      </w:r>
      <w:r w:rsidR="00A14CB0">
        <w:t>u</w:t>
      </w:r>
      <w:r>
        <w:t>n sitio web interactivo que albergue la canción principal, videos documentales cortos sobre el cambio climático, testimonios de activistas y científicos, y un mapa interactivo que muestre proyectos locales enfocados en la sostenibilidad.</w:t>
      </w:r>
    </w:p>
    <w:p w14:paraId="25C2DFC2" w14:textId="44712FBF" w:rsidR="00C62E43" w:rsidRDefault="00000000">
      <w:pPr>
        <w:numPr>
          <w:ilvl w:val="3"/>
          <w:numId w:val="12"/>
        </w:numPr>
        <w:jc w:val="both"/>
      </w:pPr>
      <w:r>
        <w:rPr>
          <w:b/>
          <w:bCs/>
        </w:rPr>
        <w:lastRenderedPageBreak/>
        <w:t>Redes Sociales:</w:t>
      </w:r>
      <w:r>
        <w:t xml:space="preserve"> </w:t>
      </w:r>
      <w:r w:rsidR="00A14CB0">
        <w:t>l</w:t>
      </w:r>
      <w:r>
        <w:t xml:space="preserve">anzamiento de la canción con un "challenge" viral en TikTok/Instagram donde los usuarios creen contenido visual (arte, danza o </w:t>
      </w:r>
      <w:r>
        <w:rPr>
          <w:i/>
          <w:iCs/>
        </w:rPr>
        <w:t>spoken word</w:t>
      </w:r>
      <w:r>
        <w:t>) inspirado en la letra de la canción y la causa climática, usando un hashtag específico.</w:t>
      </w:r>
    </w:p>
    <w:p w14:paraId="400EE281" w14:textId="012949A0" w:rsidR="00C62E43" w:rsidRDefault="00000000">
      <w:pPr>
        <w:numPr>
          <w:ilvl w:val="3"/>
          <w:numId w:val="12"/>
        </w:numPr>
        <w:jc w:val="both"/>
      </w:pPr>
      <w:r>
        <w:rPr>
          <w:b/>
          <w:bCs/>
        </w:rPr>
        <w:t>Streaming y podcasts:</w:t>
      </w:r>
      <w:r>
        <w:t xml:space="preserve"> </w:t>
      </w:r>
      <w:r w:rsidR="00A14CB0">
        <w:t>p</w:t>
      </w:r>
      <w:r>
        <w:t>ublicar la canción en todas las plataformas de</w:t>
      </w:r>
      <w:r>
        <w:rPr>
          <w:i/>
          <w:iCs/>
        </w:rPr>
        <w:t xml:space="preserve"> streaming </w:t>
      </w:r>
      <w:r>
        <w:t>y crear un podcast semanal donde el cantautor y expertos discutan temas relacionados con la canción y la acción climática.</w:t>
      </w:r>
    </w:p>
    <w:p w14:paraId="16143E37" w14:textId="69566367" w:rsidR="00C62E43" w:rsidRDefault="00000000">
      <w:pPr>
        <w:numPr>
          <w:ilvl w:val="3"/>
          <w:numId w:val="12"/>
        </w:numPr>
        <w:jc w:val="both"/>
      </w:pPr>
      <w:r>
        <w:rPr>
          <w:b/>
          <w:bCs/>
        </w:rPr>
        <w:t>Realidad Aumentada (RA):</w:t>
      </w:r>
      <w:r>
        <w:t xml:space="preserve"> </w:t>
      </w:r>
      <w:r w:rsidR="00A14CB0">
        <w:t>d</w:t>
      </w:r>
      <w:r>
        <w:t>esarrollar una aplicación de RA que, al escanear un código QR en lugares públicos (parques o plazas), reproduzca la canción y muestre visualizaciones interactivas de datos climáticos o proyecciones de impacto medioambiental en esa ubicación específica.</w:t>
      </w:r>
    </w:p>
    <w:p w14:paraId="21A3852C" w14:textId="77777777" w:rsidR="00C62E43" w:rsidRDefault="00000000">
      <w:pPr>
        <w:numPr>
          <w:ilvl w:val="2"/>
          <w:numId w:val="11"/>
        </w:numPr>
        <w:jc w:val="both"/>
      </w:pPr>
      <w:r>
        <w:rPr>
          <w:b/>
          <w:bCs/>
        </w:rPr>
        <w:t>Interacción directa:</w:t>
      </w:r>
    </w:p>
    <w:p w14:paraId="19389D83" w14:textId="00F37485" w:rsidR="00C62E43" w:rsidRDefault="00000000">
      <w:pPr>
        <w:numPr>
          <w:ilvl w:val="3"/>
          <w:numId w:val="13"/>
        </w:numPr>
        <w:jc w:val="both"/>
      </w:pPr>
      <w:r>
        <w:rPr>
          <w:b/>
          <w:bCs/>
        </w:rPr>
        <w:t>Conciertos "Pop-Up" sostenibles:</w:t>
      </w:r>
      <w:r>
        <w:t xml:space="preserve"> </w:t>
      </w:r>
      <w:r w:rsidR="00A14CB0">
        <w:t>r</w:t>
      </w:r>
      <w:r>
        <w:t>ealizar conciertos sorpresa en espacios públicos (parques o mercados) utilizando energía renovable (paneles solares portátiles) y materiales reciclados. Estos eventos serían anunciados con poca antelación a través de las redes sociales para generar expectación.</w:t>
      </w:r>
    </w:p>
    <w:p w14:paraId="2BFF6ABB" w14:textId="568A84D9" w:rsidR="00C62E43" w:rsidRDefault="00000000">
      <w:pPr>
        <w:numPr>
          <w:ilvl w:val="3"/>
          <w:numId w:val="13"/>
        </w:numPr>
        <w:jc w:val="both"/>
      </w:pPr>
      <w:r>
        <w:rPr>
          <w:b/>
          <w:bCs/>
        </w:rPr>
        <w:t>Talleres de composición colectiva:</w:t>
      </w:r>
      <w:r>
        <w:t xml:space="preserve"> </w:t>
      </w:r>
      <w:r w:rsidR="00A14CB0">
        <w:t>o</w:t>
      </w:r>
      <w:r>
        <w:t>rganizar talleres presenciales donde el cantautor o cantautora colabore con la comunidad para crear nuevas estrofas o melodías que se incorporen a la canción principal o a otras piezas, fomentando la participación y el sentido de pertenencia a la causa.</w:t>
      </w:r>
    </w:p>
    <w:p w14:paraId="00AE4DFF" w14:textId="6ABE1BC1" w:rsidR="00C62E43" w:rsidRDefault="00000000">
      <w:pPr>
        <w:numPr>
          <w:ilvl w:val="3"/>
          <w:numId w:val="13"/>
        </w:numPr>
        <w:jc w:val="both"/>
      </w:pPr>
      <w:r>
        <w:rPr>
          <w:b/>
          <w:bCs/>
        </w:rPr>
        <w:t>Colaboraciones con ONGs:</w:t>
      </w:r>
      <w:r>
        <w:t xml:space="preserve"> </w:t>
      </w:r>
      <w:r w:rsidR="00A14CB0">
        <w:t>a</w:t>
      </w:r>
      <w:r>
        <w:t>sociarse con organizaciones medioambientales para que parte de los ingresos de la canción o de los conciertos se destine a sus proyectos, y para que los eventos sirvan como puntos de información y fomento del voluntariado.</w:t>
      </w:r>
    </w:p>
    <w:p w14:paraId="39F2DCBF" w14:textId="77777777" w:rsidR="00C62E43" w:rsidRDefault="00000000">
      <w:pPr>
        <w:ind w:left="720"/>
        <w:jc w:val="both"/>
      </w:pPr>
      <w:r>
        <w:t>3.</w:t>
      </w:r>
      <w:r>
        <w:rPr>
          <w:b/>
          <w:bCs/>
        </w:rPr>
        <w:t xml:space="preserve"> La Música árabe como influencia cultural:</w:t>
      </w:r>
    </w:p>
    <w:p w14:paraId="350B4C34" w14:textId="77777777" w:rsidR="00C62E43" w:rsidRDefault="00000000">
      <w:pPr>
        <w:numPr>
          <w:ilvl w:val="2"/>
          <w:numId w:val="14"/>
        </w:numPr>
        <w:jc w:val="both"/>
      </w:pPr>
      <w:r>
        <w:rPr>
          <w:b/>
          <w:bCs/>
        </w:rPr>
        <w:t>Influencia árabe en la música medieval en la Península Ibérica:</w:t>
      </w:r>
      <w:r>
        <w:t xml:space="preserve"> La presencia árabe en la Península Ibérica durante siglos (Al-Ándalus) </w:t>
      </w:r>
      <w:r>
        <w:lastRenderedPageBreak/>
        <w:t>tuvo un impacto profundo en la música. Se introdujeron nuevos instrumentos (como el laúd, que influiría en la vihuela y la guitarra), modos melódicos (escalas con intervalos microtonales o diferentes a los occidentales), técnicas de ornamentación vocal e instrumental, y formas poético-musicales (como el zéjel o la moaxaja). Esta fusión dio lugar a un rico mestizaje cultural y musical.</w:t>
      </w:r>
    </w:p>
    <w:p w14:paraId="0D772A68" w14:textId="77777777" w:rsidR="00C62E43" w:rsidRDefault="00000000">
      <w:pPr>
        <w:numPr>
          <w:ilvl w:val="2"/>
          <w:numId w:val="14"/>
        </w:numPr>
        <w:jc w:val="both"/>
      </w:pPr>
      <w:r>
        <w:rPr>
          <w:b/>
          <w:bCs/>
        </w:rPr>
        <w:t>Concepto de canción para fomentar el diálogo entre culturas:</w:t>
      </w:r>
    </w:p>
    <w:p w14:paraId="2FA27E25" w14:textId="77777777" w:rsidR="00C62E43" w:rsidRDefault="00000000">
      <w:pPr>
        <w:numPr>
          <w:ilvl w:val="3"/>
          <w:numId w:val="15"/>
        </w:numPr>
        <w:jc w:val="both"/>
      </w:pPr>
      <w:r>
        <w:rPr>
          <w:b/>
          <w:bCs/>
        </w:rPr>
        <w:t>Título Propuesto:</w:t>
      </w:r>
      <w:r>
        <w:t xml:space="preserve"> "El Jardín de las Lenguas".</w:t>
      </w:r>
    </w:p>
    <w:p w14:paraId="07CE2B49" w14:textId="7D57C915" w:rsidR="00C62E43" w:rsidRDefault="00000000">
      <w:pPr>
        <w:numPr>
          <w:ilvl w:val="3"/>
          <w:numId w:val="15"/>
        </w:numPr>
        <w:jc w:val="both"/>
      </w:pPr>
      <w:r>
        <w:rPr>
          <w:b/>
          <w:bCs/>
        </w:rPr>
        <w:t>Mensaje:</w:t>
      </w:r>
      <w:r>
        <w:t xml:space="preserve"> </w:t>
      </w:r>
      <w:r w:rsidR="00A14CB0">
        <w:t>l</w:t>
      </w:r>
      <w:r>
        <w:t>a canción buscaría celebrar la diversidad cultural y la riqueza del intercambio, utilizando la metáfora de un jardín donde diferentes flores (culturas) crecen juntas, regadas por el agua (música) que fluye de diversas fuentes. El mensaje central sería la armonía en la diversidad y la importancia de escuchar y aprender de los demás.</w:t>
      </w:r>
    </w:p>
    <w:p w14:paraId="0B5F3AD5" w14:textId="77777777" w:rsidR="00C62E43" w:rsidRDefault="00000000">
      <w:pPr>
        <w:numPr>
          <w:ilvl w:val="3"/>
          <w:numId w:val="15"/>
        </w:numPr>
        <w:jc w:val="both"/>
      </w:pPr>
      <w:r>
        <w:rPr>
          <w:b/>
          <w:bCs/>
        </w:rPr>
        <w:t>Fusión musical:</w:t>
      </w:r>
    </w:p>
    <w:p w14:paraId="5F60B067" w14:textId="04309245" w:rsidR="00C62E43" w:rsidRDefault="00000000">
      <w:pPr>
        <w:numPr>
          <w:ilvl w:val="4"/>
          <w:numId w:val="16"/>
        </w:numPr>
        <w:jc w:val="both"/>
      </w:pPr>
      <w:r>
        <w:rPr>
          <w:b/>
          <w:bCs/>
        </w:rPr>
        <w:t>Instrumentación:</w:t>
      </w:r>
      <w:r>
        <w:t xml:space="preserve"> </w:t>
      </w:r>
      <w:r w:rsidR="00A14CB0">
        <w:t>l</w:t>
      </w:r>
      <w:r>
        <w:t>a base sería la guitarra acústica del cantautor/a, pero se incorporaría un laúd árabe (</w:t>
      </w:r>
      <w:r>
        <w:rPr>
          <w:i/>
          <w:iCs/>
        </w:rPr>
        <w:t>oud</w:t>
      </w:r>
      <w:r>
        <w:t xml:space="preserve">) para las líneas melódicas principales y ornamentaciones, y una </w:t>
      </w:r>
      <w:r>
        <w:rPr>
          <w:i/>
          <w:iCs/>
        </w:rPr>
        <w:t>darbukka</w:t>
      </w:r>
      <w:r>
        <w:t xml:space="preserve"> para la base rítmica. Se podría añadir un </w:t>
      </w:r>
      <w:r>
        <w:rPr>
          <w:i/>
          <w:iCs/>
        </w:rPr>
        <w:t>ney</w:t>
      </w:r>
      <w:r>
        <w:t xml:space="preserve"> (flauta árabe) para pasajes etéreos o de carácter introspectivo.</w:t>
      </w:r>
    </w:p>
    <w:p w14:paraId="1B5C5402" w14:textId="72423369" w:rsidR="00C62E43" w:rsidRDefault="00000000">
      <w:pPr>
        <w:numPr>
          <w:ilvl w:val="4"/>
          <w:numId w:val="16"/>
        </w:numPr>
        <w:jc w:val="both"/>
      </w:pPr>
      <w:r>
        <w:rPr>
          <w:b/>
          <w:bCs/>
        </w:rPr>
        <w:t>Modos y ornamentación:</w:t>
      </w:r>
      <w:r>
        <w:t xml:space="preserve"> </w:t>
      </w:r>
      <w:r w:rsidR="00A14CB0">
        <w:t>l</w:t>
      </w:r>
      <w:r>
        <w:t xml:space="preserve">a melodía principal del cantautor/a se construiría sobre un modo árabe (como el </w:t>
      </w:r>
      <w:r>
        <w:rPr>
          <w:i/>
          <w:iCs/>
        </w:rPr>
        <w:t>Hijaz</w:t>
      </w:r>
      <w:r>
        <w:t xml:space="preserve">, mencionado en la unidad, o el </w:t>
      </w:r>
      <w:r>
        <w:rPr>
          <w:i/>
          <w:iCs/>
        </w:rPr>
        <w:t>Nahawand</w:t>
      </w:r>
      <w:r>
        <w:t xml:space="preserve">), que le daría un sabor oriental distintivo. El laúd y el </w:t>
      </w:r>
      <w:r>
        <w:rPr>
          <w:i/>
          <w:iCs/>
        </w:rPr>
        <w:t>ney</w:t>
      </w:r>
      <w:r>
        <w:t xml:space="preserve"> improvisarían con ornamentaciones típicas árabes (trinos, glissandos o microtonos) alrededor de la melodía vocal.</w:t>
      </w:r>
    </w:p>
    <w:p w14:paraId="400F9C7B" w14:textId="3C42316A" w:rsidR="00C62E43" w:rsidRDefault="00000000">
      <w:pPr>
        <w:numPr>
          <w:ilvl w:val="4"/>
          <w:numId w:val="16"/>
        </w:numPr>
        <w:jc w:val="both"/>
      </w:pPr>
      <w:r>
        <w:rPr>
          <w:b/>
          <w:bCs/>
        </w:rPr>
        <w:t>Estructura:</w:t>
      </w:r>
      <w:r>
        <w:t xml:space="preserve"> </w:t>
      </w:r>
      <w:r w:rsidR="00A14CB0">
        <w:t>l</w:t>
      </w:r>
      <w:r>
        <w:t>a canción podría alternar secciones con una estructura más occidental (verso-estribillo) cantadas en español, con secciones instrumentales o vocales (</w:t>
      </w:r>
      <w:r>
        <w:rPr>
          <w:i/>
          <w:iCs/>
        </w:rPr>
        <w:t>tarab</w:t>
      </w:r>
      <w:r>
        <w:t>) que emulen la improvisación y la expresividad de la música árabe, quizás con algunas frases en árabe o bereber para simbolizar el diálogo.</w:t>
      </w:r>
    </w:p>
    <w:p w14:paraId="31F2E6A9" w14:textId="4F6BB90E" w:rsidR="00C62E43" w:rsidRDefault="00000000">
      <w:pPr>
        <w:numPr>
          <w:ilvl w:val="4"/>
          <w:numId w:val="16"/>
        </w:numPr>
        <w:jc w:val="both"/>
      </w:pPr>
      <w:r>
        <w:rPr>
          <w:b/>
          <w:bCs/>
        </w:rPr>
        <w:lastRenderedPageBreak/>
        <w:t>Ritmo:</w:t>
      </w:r>
      <w:r>
        <w:t xml:space="preserve"> </w:t>
      </w:r>
      <w:r w:rsidR="00A14CB0">
        <w:t>l</w:t>
      </w:r>
      <w:r>
        <w:t xml:space="preserve">a </w:t>
      </w:r>
      <w:r>
        <w:rPr>
          <w:i/>
          <w:iCs/>
        </w:rPr>
        <w:t xml:space="preserve">darbukka </w:t>
      </w:r>
      <w:r>
        <w:t>mantendría un ritmo constante y envolvente, con variaciones que recuerden los ritmos complejos de la música árabe, pero accesible para el oyente occidental.</w:t>
      </w:r>
    </w:p>
    <w:p w14:paraId="4E87C247" w14:textId="5A75661E" w:rsidR="00C62E43" w:rsidRDefault="00000000">
      <w:pPr>
        <w:numPr>
          <w:ilvl w:val="3"/>
          <w:numId w:val="15"/>
        </w:numPr>
        <w:jc w:val="both"/>
      </w:pPr>
      <w:r>
        <w:rPr>
          <w:b/>
          <w:bCs/>
        </w:rPr>
        <w:t>Enriquecimiento del mensaje:</w:t>
      </w:r>
      <w:r>
        <w:t xml:space="preserve"> </w:t>
      </w:r>
      <w:r w:rsidR="00A14CB0">
        <w:t>e</w:t>
      </w:r>
      <w:r>
        <w:t>sta fusión no sería solo estética, sino que la propia mezcla de sonidos y estilos musicales encarnaría el mensaje de diálogo y entendimiento intercultural. La familiaridad de la guitarra del cantautor/a serviría de puente para introducir al oyente en las sonoridades árabes, demostrando cómo la música puede trascender barreras y unir tradiciones aparentemente dispares en una nueva armonía compartida.</w:t>
      </w:r>
    </w:p>
    <w:sectPr w:rsidR="00C62E43">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4C1C" w14:textId="77777777" w:rsidR="00784D19" w:rsidRDefault="00784D19">
      <w:pPr>
        <w:spacing w:after="0" w:line="240" w:lineRule="auto"/>
      </w:pPr>
      <w:r>
        <w:separator/>
      </w:r>
    </w:p>
  </w:endnote>
  <w:endnote w:type="continuationSeparator" w:id="0">
    <w:p w14:paraId="06E90FCC" w14:textId="77777777" w:rsidR="00784D19" w:rsidRDefault="0078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78C969E2-28B9-431A-B617-E3F715565739}"/>
    <w:embedBold r:id="rId2" w:fontKey="{A744AC34-49E6-4340-BF15-33A8C6F69D54}"/>
    <w:embedItalic r:id="rId3" w:fontKey="{F9C3F900-7E18-447E-9353-A6E7EBD4FE27}"/>
  </w:font>
  <w:font w:name="Play">
    <w:charset w:val="00"/>
    <w:family w:val="auto"/>
    <w:pitch w:val="default"/>
    <w:embedRegular r:id="rId4" w:fontKey="{3AABD977-1ECB-40A3-A1A9-DC1FDA8A572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39A27A06-0574-4A51-A7CA-17239E93B82E}"/>
  </w:font>
  <w:font w:name="Verdana">
    <w:panose1 w:val="020B0604030504040204"/>
    <w:charset w:val="00"/>
    <w:family w:val="swiss"/>
    <w:pitch w:val="variable"/>
    <w:sig w:usb0="A00006FF" w:usb1="4000205B" w:usb2="00000010" w:usb3="00000000" w:csb0="0000019F" w:csb1="00000000"/>
    <w:embedBold r:id="rId6" w:fontKey="{6244F459-27FD-4CD3-9E94-6681A23AE36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8671" w14:textId="77777777" w:rsidR="00C62E43"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7BA11691" wp14:editId="6DEBA518">
          <wp:extent cx="278379" cy="278379"/>
          <wp:effectExtent l="0" t="0" r="0" b="0"/>
          <wp:docPr id="1705928304" name="image1.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FAB3" w14:textId="77777777" w:rsidR="00784D19" w:rsidRDefault="00784D19">
      <w:pPr>
        <w:spacing w:after="0" w:line="240" w:lineRule="auto"/>
      </w:pPr>
      <w:r>
        <w:separator/>
      </w:r>
    </w:p>
  </w:footnote>
  <w:footnote w:type="continuationSeparator" w:id="0">
    <w:p w14:paraId="017B855C" w14:textId="77777777" w:rsidR="00784D19" w:rsidRDefault="00784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98E4" w14:textId="77777777" w:rsidR="00C62E43"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019AB53D" wp14:editId="27278F59">
              <wp:simplePos x="0" y="0"/>
              <wp:positionH relativeFrom="column">
                <wp:posOffset>-919161</wp:posOffset>
              </wp:positionH>
              <wp:positionV relativeFrom="paragraph">
                <wp:posOffset>-454341</wp:posOffset>
              </wp:positionV>
              <wp:extent cx="7793355" cy="836295"/>
              <wp:effectExtent l="0" t="0" r="0" b="0"/>
              <wp:wrapNone/>
              <wp:docPr id="1705928301" name="Rectángulo 1705928301"/>
              <wp:cNvGraphicFramePr/>
              <a:graphic xmlns:a="http://schemas.openxmlformats.org/drawingml/2006/main">
                <a:graphicData uri="http://schemas.microsoft.com/office/word/2010/wordprocessingShape">
                  <wps:wsp>
                    <wps:cNvSpPr/>
                    <wps:spPr>
                      <a:xfrm>
                        <a:off x="1454085" y="3366615"/>
                        <a:ext cx="7783830" cy="826770"/>
                      </a:xfrm>
                      <a:prstGeom prst="rect">
                        <a:avLst/>
                      </a:prstGeom>
                      <a:solidFill>
                        <a:srgbClr val="43AFE2"/>
                      </a:solidFill>
                      <a:ln>
                        <a:noFill/>
                      </a:ln>
                    </wps:spPr>
                    <wps:txbx>
                      <w:txbxContent>
                        <w:p w14:paraId="042983A2" w14:textId="77777777" w:rsidR="00C62E43" w:rsidRDefault="00C62E43">
                          <w:pPr>
                            <w:spacing w:after="0" w:line="240" w:lineRule="auto"/>
                            <w:textDirection w:val="btLr"/>
                          </w:pPr>
                        </w:p>
                        <w:p w14:paraId="47AB7F58" w14:textId="77777777" w:rsidR="00C62E43" w:rsidRDefault="00C62E43">
                          <w:pPr>
                            <w:spacing w:line="277"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019AB53D" id="Rectángulo 1705928301" o:spid="_x0000_s1026" style="position:absolute;margin-left:-72.35pt;margin-top:-35.75pt;width:613.65pt;height:65.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" fillcolor="#43afe2" stroked="f">
              <v:textbox inset="2.53958mm,1.2694mm,2.53958mm,1.2694mm">
                <w:txbxContent>
                  <w:p w14:paraId="042983A2" w14:textId="77777777" w:rsidR="00C62E43" w:rsidRDefault="00C62E43">
                    <w:pPr>
                      <w:spacing w:after="0" w:line="240" w:lineRule="auto"/>
                      <w:textDirection w:val="btLr"/>
                    </w:pPr>
                  </w:p>
                  <w:p w14:paraId="47AB7F58" w14:textId="77777777" w:rsidR="00C62E43" w:rsidRDefault="00C62E43">
                    <w:pPr>
                      <w:spacing w:line="277" w:lineRule="auto"/>
                      <w:jc w:val="center"/>
                      <w:textDirection w:val="btL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33B306ED" wp14:editId="761D7CE9">
              <wp:simplePos x="0" y="0"/>
              <wp:positionH relativeFrom="column">
                <wp:posOffset>138079</wp:posOffset>
              </wp:positionH>
              <wp:positionV relativeFrom="paragraph">
                <wp:posOffset>-382586</wp:posOffset>
              </wp:positionV>
              <wp:extent cx="6590665" cy="763905"/>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2055430" y="3402810"/>
                        <a:ext cx="6581140" cy="754380"/>
                      </a:xfrm>
                      <a:prstGeom prst="rect">
                        <a:avLst/>
                      </a:prstGeom>
                      <a:noFill/>
                      <a:ln>
                        <a:noFill/>
                      </a:ln>
                    </wps:spPr>
                    <wps:txbx>
                      <w:txbxContent>
                        <w:p w14:paraId="757D6611" w14:textId="77777777" w:rsidR="00C62E43" w:rsidRDefault="00000000">
                          <w:pPr>
                            <w:spacing w:after="0" w:line="240" w:lineRule="auto"/>
                            <w:textDirection w:val="btLr"/>
                          </w:pPr>
                          <w:r>
                            <w:rPr>
                              <w:b/>
                              <w:color w:val="FFFFFF"/>
                              <w:sz w:val="40"/>
                            </w:rPr>
                            <w:t>FICHAS DE ATENCIÓN A LA DIVERSIDAD.</w:t>
                          </w:r>
                        </w:p>
                        <w:p w14:paraId="66C18193" w14:textId="77777777" w:rsidR="00C62E43" w:rsidRDefault="00000000">
                          <w:pPr>
                            <w:spacing w:after="0" w:line="240" w:lineRule="auto"/>
                            <w:textDirection w:val="btLr"/>
                          </w:pPr>
                          <w:r>
                            <w:rPr>
                              <w:b/>
                              <w:color w:val="FFFFFF"/>
                              <w:sz w:val="40"/>
                            </w:rPr>
                            <w:t>NIVEL SUPERIOR</w:t>
                          </w:r>
                        </w:p>
                      </w:txbxContent>
                    </wps:txbx>
                    <wps:bodyPr spcFirstLastPara="1" wrap="square" lIns="91425" tIns="45700" rIns="91425" bIns="45700" anchor="t" anchorCtr="0">
                      <a:noAutofit/>
                    </wps:bodyPr>
                  </wps:wsp>
                </a:graphicData>
              </a:graphic>
            </wp:anchor>
          </w:drawing>
        </mc:Choice>
        <mc:Fallback>
          <w:pict>
            <v:rect w14:anchorId="33B306ED" id="Rectángulo 1705928302" o:spid="_x0000_s1027" style="position:absolute;margin-left:10.85pt;margin-top:-30.1pt;width:518.95pt;height:60.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" filled="f" stroked="f">
              <v:textbox inset="2.53958mm,1.2694mm,2.53958mm,1.2694mm">
                <w:txbxContent>
                  <w:p w14:paraId="757D6611" w14:textId="77777777" w:rsidR="00C62E43" w:rsidRDefault="00000000">
                    <w:pPr>
                      <w:spacing w:after="0" w:line="240" w:lineRule="auto"/>
                      <w:textDirection w:val="btLr"/>
                    </w:pPr>
                    <w:r>
                      <w:rPr>
                        <w:b/>
                        <w:color w:val="FFFFFF"/>
                        <w:sz w:val="40"/>
                      </w:rPr>
                      <w:t>FICHAS DE ATENCIÓN A LA DIVERSIDAD.</w:t>
                    </w:r>
                  </w:p>
                  <w:p w14:paraId="66C18193" w14:textId="77777777" w:rsidR="00C62E43" w:rsidRDefault="00000000">
                    <w:pPr>
                      <w:spacing w:after="0" w:line="240" w:lineRule="auto"/>
                      <w:textDirection w:val="btLr"/>
                    </w:pPr>
                    <w:r>
                      <w:rPr>
                        <w:b/>
                        <w:color w:val="FFFFFF"/>
                        <w:sz w:val="40"/>
                      </w:rPr>
                      <w:t>NIVEL SUPERIOR</w:t>
                    </w:r>
                  </w:p>
                </w:txbxContent>
              </v:textbox>
              <w10:wrap type="square"/>
            </v:rect>
          </w:pict>
        </mc:Fallback>
      </mc:AlternateContent>
    </w:r>
    <w:r>
      <w:rPr>
        <w:noProof/>
      </w:rPr>
      <w:drawing>
        <wp:anchor distT="0" distB="0" distL="114300" distR="114300" simplePos="0" relativeHeight="251660288" behindDoc="0" locked="0" layoutInCell="1" hidden="0" allowOverlap="1" wp14:anchorId="644DF1CA" wp14:editId="1D41AD46">
          <wp:simplePos x="0" y="0"/>
          <wp:positionH relativeFrom="column">
            <wp:posOffset>-772225</wp:posOffset>
          </wp:positionH>
          <wp:positionV relativeFrom="paragraph">
            <wp:posOffset>-311149</wp:posOffset>
          </wp:positionV>
          <wp:extent cx="803275" cy="551815"/>
          <wp:effectExtent l="0" t="0" r="0" b="0"/>
          <wp:wrapSquare wrapText="bothSides" distT="0" distB="0" distL="114300" distR="114300"/>
          <wp:docPr id="1705928303" name="image2.png" descr="Una caricatura de una person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Una caricatura de una persona&#10;&#10;El contenido generado por IA puede ser incorrecto."/>
                  <pic:cNvPicPr preferRelativeResize="0"/>
                </pic:nvPicPr>
                <pic:blipFill>
                  <a:blip r:embed="rId1"/>
                  <a:srcRect/>
                  <a:stretch>
                    <a:fillRect/>
                  </a:stretch>
                </pic:blipFill>
                <pic:spPr>
                  <a:xfrm>
                    <a:off x="0" y="0"/>
                    <a:ext cx="803275" cy="5518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B9B"/>
    <w:multiLevelType w:val="multilevel"/>
    <w:tmpl w:val="A99A26D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4D8028C"/>
    <w:multiLevelType w:val="multilevel"/>
    <w:tmpl w:val="CE00958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 w15:restartNumberingAfterBreak="0">
    <w:nsid w:val="0B4D3061"/>
    <w:multiLevelType w:val="multilevel"/>
    <w:tmpl w:val="66FAE21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F3F1B7E"/>
    <w:multiLevelType w:val="multilevel"/>
    <w:tmpl w:val="CFE6294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4" w15:restartNumberingAfterBreak="0">
    <w:nsid w:val="16F84B75"/>
    <w:multiLevelType w:val="multilevel"/>
    <w:tmpl w:val="199242C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18093993"/>
    <w:multiLevelType w:val="multilevel"/>
    <w:tmpl w:val="0D086A6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 w15:restartNumberingAfterBreak="0">
    <w:nsid w:val="19B7345F"/>
    <w:multiLevelType w:val="multilevel"/>
    <w:tmpl w:val="A97C683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7" w15:restartNumberingAfterBreak="0">
    <w:nsid w:val="1D660FC9"/>
    <w:multiLevelType w:val="multilevel"/>
    <w:tmpl w:val="76AC1A9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1DB72C37"/>
    <w:multiLevelType w:val="multilevel"/>
    <w:tmpl w:val="EE46ABE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 w15:restartNumberingAfterBreak="0">
    <w:nsid w:val="1DE34D93"/>
    <w:multiLevelType w:val="multilevel"/>
    <w:tmpl w:val="89806BC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 w15:restartNumberingAfterBreak="0">
    <w:nsid w:val="2A5672D2"/>
    <w:multiLevelType w:val="multilevel"/>
    <w:tmpl w:val="506A8D1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2DDA397F"/>
    <w:multiLevelType w:val="multilevel"/>
    <w:tmpl w:val="F90AB40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30C77489"/>
    <w:multiLevelType w:val="multilevel"/>
    <w:tmpl w:val="0D9A4FC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3B43332D"/>
    <w:multiLevelType w:val="multilevel"/>
    <w:tmpl w:val="1A68499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 w15:restartNumberingAfterBreak="0">
    <w:nsid w:val="41D5385B"/>
    <w:multiLevelType w:val="multilevel"/>
    <w:tmpl w:val="79AE6D3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5CB00A7F"/>
    <w:multiLevelType w:val="multilevel"/>
    <w:tmpl w:val="913AED4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 w15:restartNumberingAfterBreak="0">
    <w:nsid w:val="61177601"/>
    <w:multiLevelType w:val="multilevel"/>
    <w:tmpl w:val="9FFE7A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 w15:restartNumberingAfterBreak="0">
    <w:nsid w:val="64427D5D"/>
    <w:multiLevelType w:val="multilevel"/>
    <w:tmpl w:val="700628F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8" w15:restartNumberingAfterBreak="0">
    <w:nsid w:val="66755209"/>
    <w:multiLevelType w:val="multilevel"/>
    <w:tmpl w:val="CFA0D3F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9" w15:restartNumberingAfterBreak="0">
    <w:nsid w:val="67144315"/>
    <w:multiLevelType w:val="multilevel"/>
    <w:tmpl w:val="7CEAC0D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0" w15:restartNumberingAfterBreak="0">
    <w:nsid w:val="6B974419"/>
    <w:multiLevelType w:val="multilevel"/>
    <w:tmpl w:val="7D242F6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1" w15:restartNumberingAfterBreak="0">
    <w:nsid w:val="7A531566"/>
    <w:multiLevelType w:val="multilevel"/>
    <w:tmpl w:val="4AF4C4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638265135">
    <w:abstractNumId w:val="14"/>
  </w:num>
  <w:num w:numId="2" w16cid:durableId="272439931">
    <w:abstractNumId w:val="19"/>
  </w:num>
  <w:num w:numId="3" w16cid:durableId="368383614">
    <w:abstractNumId w:val="4"/>
  </w:num>
  <w:num w:numId="4" w16cid:durableId="1642922659">
    <w:abstractNumId w:val="5"/>
  </w:num>
  <w:num w:numId="5" w16cid:durableId="636882391">
    <w:abstractNumId w:val="6"/>
  </w:num>
  <w:num w:numId="6" w16cid:durableId="81723923">
    <w:abstractNumId w:val="7"/>
  </w:num>
  <w:num w:numId="7" w16cid:durableId="1946184901">
    <w:abstractNumId w:val="12"/>
  </w:num>
  <w:num w:numId="8" w16cid:durableId="233860081">
    <w:abstractNumId w:val="11"/>
  </w:num>
  <w:num w:numId="9" w16cid:durableId="1241719127">
    <w:abstractNumId w:val="13"/>
  </w:num>
  <w:num w:numId="10" w16cid:durableId="727654714">
    <w:abstractNumId w:val="21"/>
  </w:num>
  <w:num w:numId="11" w16cid:durableId="2146464825">
    <w:abstractNumId w:val="9"/>
  </w:num>
  <w:num w:numId="12" w16cid:durableId="1740858350">
    <w:abstractNumId w:val="20"/>
  </w:num>
  <w:num w:numId="13" w16cid:durableId="231894168">
    <w:abstractNumId w:val="10"/>
  </w:num>
  <w:num w:numId="14" w16cid:durableId="293683713">
    <w:abstractNumId w:val="16"/>
  </w:num>
  <w:num w:numId="15" w16cid:durableId="568348078">
    <w:abstractNumId w:val="17"/>
  </w:num>
  <w:num w:numId="16" w16cid:durableId="1126464717">
    <w:abstractNumId w:val="15"/>
  </w:num>
  <w:num w:numId="17" w16cid:durableId="734281363">
    <w:abstractNumId w:val="1"/>
  </w:num>
  <w:num w:numId="18" w16cid:durableId="1857498789">
    <w:abstractNumId w:val="3"/>
  </w:num>
  <w:num w:numId="19" w16cid:durableId="2119133564">
    <w:abstractNumId w:val="8"/>
  </w:num>
  <w:num w:numId="20" w16cid:durableId="2019767176">
    <w:abstractNumId w:val="18"/>
  </w:num>
  <w:num w:numId="21" w16cid:durableId="1376537278">
    <w:abstractNumId w:val="2"/>
  </w:num>
  <w:num w:numId="22" w16cid:durableId="63453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43"/>
    <w:rsid w:val="00784D19"/>
    <w:rsid w:val="00820395"/>
    <w:rsid w:val="00A14CB0"/>
    <w:rsid w:val="00C62E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E7D3"/>
  <w15:docId w15:val="{591F1179-CD58-4A7A-9E80-FFA5FC91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rPr>
  </w:style>
  <w:style w:type="character" w:styleId="Fuerte">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nNWrjkjT7S0jDe+b/jn7M9Zzg==">CgMxLjAyDmlkLnd0a3IwOXo4cm02Mg5pZC5zOGtldnpmdTNhaTIPaWQuMXk2ajdlbTczOGg2Mg9pZC5sM3hycG13emt0MDIyDmlkLmQ5MWUxbGNydzE0Mg9pZC5yNTB6cDN2ZXUwZnUyD2lkLnRmN3FrYnNvZzF2bzgAciExOFFJOG5HallxaUhRcm1CS2tJN0Rxc2N4dmg1cFRFQXY=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2418</Words>
  <Characters>13764</Characters>
  <Application>Microsoft Office Word</Application>
  <DocSecurity>0</DocSecurity>
  <Lines>269</Lines>
  <Paragraphs>74</Paragraphs>
  <ScaleCrop>false</ScaleCrop>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2</cp:revision>
  <dcterms:created xsi:type="dcterms:W3CDTF">2026-03-11T09:21:00Z</dcterms:created>
  <dcterms:modified xsi:type="dcterms:W3CDTF">2026-03-14T10:08:00Z</dcterms:modified>
</cp:coreProperties>
</file>