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000"/>
      </w:tblPr>
      <w:tblGrid>
        <w:gridCol w:w="7503"/>
        <w:gridCol w:w="7005"/>
        <w:tblGridChange w:id="0">
          <w:tblGrid>
            <w:gridCol w:w="7503"/>
            <w:gridCol w:w="700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UNIDAD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left="720" w:firstLine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left="720" w:firstLine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EL MOVIMIENTO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left="720" w:firstLine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08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OBJETIVOS DE UNIDAD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09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COMPETENCIAS CLAVE (CCC) DE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0A">
            <w:pPr>
              <w:ind w:right="171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b) Desarrollar y consolidar hábitos de disciplina, estudio y trabajo individual y en equipo como condición necesaria para una realización eficaz de las tareas del aprendizaje y como medio de desarrollo personal.</w:t>
            </w:r>
          </w:p>
          <w:p w:rsidR="00000000" w:rsidDel="00000000" w:rsidP="00000000" w:rsidRDefault="00000000" w:rsidRPr="00000000" w14:paraId="0000000B">
            <w:pPr>
              <w:ind w:right="171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e) Desarrollar destrezas básicas en la utilización de las fuentes de información para, con sentido crítico, adquirir nuevos conocimientos. Desarrollar las competencias tecnológicas básicas y avanzar en una reflexión ética sobre su funcionamiento y utilización.</w:t>
            </w:r>
          </w:p>
          <w:p w:rsidR="00000000" w:rsidDel="00000000" w:rsidP="00000000" w:rsidRDefault="00000000" w:rsidRPr="00000000" w14:paraId="0000000C">
            <w:pPr>
              <w:ind w:right="171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f) Concebir el conocimiento científico como un saber integrado, que se estructura en distintas disciplinas, así como conocer y aplicar los métodos para identificar los problemas en los diversos campos del conocimiento y de la experiencia.</w:t>
            </w:r>
          </w:p>
          <w:p w:rsidR="00000000" w:rsidDel="00000000" w:rsidP="00000000" w:rsidRDefault="00000000" w:rsidRPr="00000000" w14:paraId="0000000D">
            <w:pPr>
              <w:ind w:right="171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g) Desarrollar el espíritu emprendedor y la confianza en sí mismo, la participación, el sentido crítico, la iniciativa personal y la capacidad para aprender a aprender, planificar, tomar decisiones y asumir responsabilidades.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– Competencia matemática y competencia en ciencia, tecnología e ingeniería.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– Competencia digital.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– Competencia personal, social y de aprender a aprender.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– Competencia emprendedora.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c9e187" w:val="clear"/>
          </w:tcPr>
          <w:p w:rsidR="00000000" w:rsidDel="00000000" w:rsidP="00000000" w:rsidRDefault="00000000" w:rsidRPr="00000000" w14:paraId="00000017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TEMPORALIZACIÓN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4 sesiones lectivas </w:t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55.0" w:type="dxa"/>
        <w:jc w:val="left"/>
        <w:tblInd w:w="-1026.0" w:type="dxa"/>
        <w:tblBorders>
          <w:top w:color="385623" w:space="0" w:sz="8" w:val="single"/>
          <w:left w:color="385623" w:space="0" w:sz="8" w:val="single"/>
          <w:bottom w:color="385623" w:space="0" w:sz="8" w:val="single"/>
          <w:right w:color="385623" w:space="0" w:sz="8" w:val="single"/>
          <w:insideH w:color="385623" w:space="0" w:sz="8" w:val="single"/>
          <w:insideV w:color="385623" w:space="0" w:sz="8" w:val="single"/>
        </w:tblBorders>
        <w:tblLayout w:type="fixed"/>
        <w:tblLook w:val="0000"/>
      </w:tblPr>
      <w:tblGrid>
        <w:gridCol w:w="3568"/>
        <w:gridCol w:w="2410"/>
        <w:gridCol w:w="3118"/>
        <w:gridCol w:w="1111"/>
        <w:gridCol w:w="1559"/>
        <w:gridCol w:w="4089"/>
        <w:tblGridChange w:id="0">
          <w:tblGrid>
            <w:gridCol w:w="3568"/>
            <w:gridCol w:w="2410"/>
            <w:gridCol w:w="3118"/>
            <w:gridCol w:w="1111"/>
            <w:gridCol w:w="1559"/>
            <w:gridCol w:w="408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1F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UNIDAD 5. EL MOVIMIENTO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Saberes básicos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Competencias específicas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27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Criterios de evaluación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28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Descriptores de perfil de salida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Relación con los epígrafes de la unidad McGraw-Hill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d8e9a9" w:val="clear"/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de la unidad en relación a los descriptores de perfil de salida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A. Las destrezas científicas básicas.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– Metodologías de la investigación científica: identificación y formulación de cuestiones, elaboración de hipótesis y comprobación experimental de las mismas.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– Trabajo experimental y proyectos de investigación: estrategias en la resolución de problemas y en el desarrollo de las investigaciones mediante la indagación, la deducción, la búsqueda de evidencias y el razonamiento lógico-matemático, haciendo inferencias válidas de las observaciones y obteniendo conclusiones.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– Diversos entornos y recursos de aprendizaje científico, como el laboratorio o los entornos virtuales: materiales, sustancias y herramientas tecnológicas.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– Estrategias de interpretación y producción de información científica utilizando diferentes formatos y diferentes medios: desarrollo del criterio propio basado en lo que el pensamiento científico aporta a la mejora de la sociedad para hacerla más justa, equitativa e igualitaria.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D. La interacción.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– Predicción de movimientos sencillos a partir de los conceptos de la cinemática, formulando hipótesis comprobables sobre valores futuros de estas magnitudes, validándolas a través del cálculo numérico, la interpretación de gráficas o el trabajo experimental.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– Las fuerzas como agentes de cambio: relación de los efectos de las fuerzas, tanto en el estado de movimiento o de reposo de un cuerpo como produciendo deformaciones en los sistemas sobre los que actúan.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– Aplicación de las leyes de Newton: observación de situaciones cotidianas o de laboratorio que permiten entender cómo se comportan los sistemas materiales ante la acción de las fuerzas y predecir los efectos de estas en situaciones cotidianas y de seguridad vial.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 Comprender y relacionar los motivos por los que ocurren los principales fenómenos fisicoquímicos del entorno, explicándolos en términos de las leyes y teorías científicas adecuadas, para resolver problemas con el fin de aplicarlas para mejorar la realidad cercana y la calidad de vida humana.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 Expresar las observaciones realizadas por el alumnado en forma de preguntas, formulando hipótesis, para explicarlas y demostrando dichas hipótesis a través de la experimentación científica, la indagación y la búsqueda de evidencias, para desarrollar los razonamientos propios del pensamiento científico y mejorar las destrezas en el uso de las metodologías científicas.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 Utilizar de forma crítica, eficiente y segura plataformas digitales y recursos variados, tanto para el trabajo individual como en equipo, para fomentar la creatividad, el desarrollo personal y el aprendizaje individual y social, mediante la consulta de información, la creación de materiales y la comunicación efectiva en los diferentes entornos de aprendizaje.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1.1. Identificar, comprender y explicar los fenómenos fisicoquímicos cotidianos más relevantes, a partir de los principios, teorías y leyes científicas adecuadas, expresándolos, de manera argumentada, utilizando diversidad de soportes y medios de comunicación.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1.2. Resolver los problemas fisicoquímicos planteados utilizando las leyes y teorías científicas adecuadas, razonando los procedimientos utilizados para encontrar las soluciones y expresando adecuadamente los resultados.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1.3. Reconocer y describir en el entorno inmediato situaciones problemáticas reales de índole científica y emprender iniciativas en las que la ciencia, y en particular la física y la química, pueden contribuir a su solución, analizando críticamente su impacto en la sociedad.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2.1. Emplear las metodologías propias de la ciencia para identificar y describir fenómenos a partir de cuestiones a las que se pueda dar respuesta a través de la indagación, la deducción, el trabajo experimental y el razonamiento lógico-matemático, diferenciándolas de aquellas pseudocientíficas que no admiten comprobación experimental.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2.2. Seleccionar, de acuerdo con la naturaleza de las cuestiones que se traten, la mejor manera de comprobar o refutar las hipótesis formuladas, para diseñar estrategias de indagación y búsqueda de evidencias que permitan obtener conclusiones y repuestas ajustadas a la naturaleza de la pregunta formulada.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2.3. Aplicar las leyes y teorías científicas conocidas para formular cuestiones e hipótesis, de manera informada y coherente con el conocimiento científico existente y diseñar los procedimientos experimentales o deductivos necesarios para resolverlas o comprobarlas.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4.1. Utilizar recursos variados, tradicionales y digitales, mejorando el aprendizaje autónomo y para mejorar la interacción con otros miembros de la comunidad educativa, con respeto hacia docentes y estudiantes y analizando críticamente las aportaciones de cada participante.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4.2. Trabajar de forma adecuada y versátil con medios variados, tradicionales y digitales, en la consulta de información y la creación de contenidos, seleccionando con criterio las fuentes más fiables y desechando las menos adecuadas para la mejora del aprendizaje propio y colectivo.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CCL1, STEM1, STEM2, STEM4, CPSAA4.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CCL1, CCL3, STEM1, STEM2, CD1, CPSAA4, CE1, CCEC3.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CCL2, CCL3, STEM4, CD1, CD2, CPSAA3, CE3, CCEC4.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 ¿Estás en movimiento?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 Velocidad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 Movimiento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rectilíneo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y uniforme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 Aceleración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5. Movimiento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rectilíneo y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uniformemente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acelerado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6. Caída libre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7. Gráficas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del movimiento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1,2,3,4: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STEM1, STEM2, STEM4, CPSAA4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5,6,7,8: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CCL1, STEM1, STEM2, STEM4, CPSAA4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9,10,11: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STEM1, STEM2, STEM4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12,13,14,15: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STEM1, STEM2, STEM4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Laboratorio en el aula 1: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CCL2, CCL3, STEM4, CD1, CD2, CPSAA3, CE3, CCEC4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16,17,18,19,20: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CCL1, STEM1, STEM2, STEM4, CPSAA4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Laboratorio en el aula 2: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CCL2, CCL3, STEM4, CE3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Primero en casa y después en clase 21-28: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CE1, CE3, CPSAA4, STEM1, STEM2, STEM4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Experimenta 1: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STEM1, STEM2, STEM4, CPSAA4, CD1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Primero en casa y después en clase 29-30: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CE1, CE3, CPSAA4, STEM1, STEM2, STEM4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Experimenta 2: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CCL2, CCL3, STEM4, CD1, CD2, CPSAA3, CE3, CCEC4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31,32: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STEM1, STEM2, STEM4, CPSAA4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Mira a tu alrededor: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CCL1, CCL3, STEM1, STEM2, CPSAA4, CE1, CCEC3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Analiza el enunciado: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CCL1, STEM1, STEM2, STEM4, CPSAA4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finales 1-35: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CCL1, CCL3, STEM1, STEM2, STEM4, CPSAA4, CE1, CCEC3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Práctica de laboratorio: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CCL2, CCL3, STEM4, CD1, CD2, CPSAA3, CE3, CCEC4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" w:before="2" w:lineRule="auto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" w:before="2" w:lineRule="auto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560" w:top="542" w:left="1701" w:right="1699" w:header="0" w:footer="2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rFonts w:ascii="Verdana" w:cs="Verdana" w:eastAsia="Verdana" w:hAnsi="Verdana"/>
        <w:color w:val="808080"/>
        <w:sz w:val="18"/>
        <w:szCs w:val="18"/>
        <w:rtl w:val="0"/>
      </w:rPr>
      <w:br w:type="textWrapping"/>
    </w:r>
    <w:r w:rsidDel="00000000" w:rsidR="00000000" w:rsidRPr="00000000">
      <w:rPr>
        <w:color w:val="808080"/>
        <w:sz w:val="18"/>
        <w:szCs w:val="18"/>
        <w:rtl w:val="0"/>
      </w:rPr>
      <w:t xml:space="preserve">    </w:t>
    </w:r>
    <w:r w:rsidDel="00000000" w:rsidR="00000000" w:rsidRPr="00000000">
      <w:rPr>
        <w:rFonts w:ascii="Verdana" w:cs="Verdana" w:eastAsia="Verdana" w:hAnsi="Verdana"/>
        <w:b w:val="1"/>
        <w:bCs w:val="1"/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rFonts w:ascii="Verdana" w:cs="Verdana" w:eastAsia="Verdana" w:hAnsi="Verdana"/>
        <w:b w:val="1"/>
        <w:bCs w:val="1"/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t xml:space="preserve">-1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49530</wp:posOffset>
          </wp:positionV>
          <wp:extent cx="304800" cy="304800"/>
          <wp:effectExtent b="0" l="0" r="0" t="0"/>
          <wp:wrapSquare wrapText="bothSides" distB="0" distT="0" distL="114300" distR="114300"/>
          <wp:docPr descr="Icono&#10;&#10;Descripción generada automáticamente con confianza baja" id="54" name="image2.jpg"/>
          <a:graphic>
            <a:graphicData uri="http://schemas.openxmlformats.org/drawingml/2006/picture">
              <pic:pic>
                <pic:nvPicPr>
                  <pic:cNvPr descr="Icono&#10;&#10;Descripción generada automáticamente con confianza baj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360" w:lineRule="auto"/>
      <w:jc w:val="center"/>
      <w:rPr>
        <w:rFonts w:ascii="Verdana" w:cs="Verdana" w:eastAsia="Verdana" w:hAnsi="Verdana"/>
        <w:color w:val="80808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808080"/>
        <w:sz w:val="16"/>
        <w:szCs w:val="16"/>
        <w:rtl w:val="0"/>
      </w:rPr>
      <w:t xml:space="preserve">Física y Química 3ºESO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left"/>
      <w:rPr>
        <w:color w:val="80808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tabs>
        <w:tab w:val="right" w:leader="none" w:pos="10080"/>
      </w:tabs>
      <w:spacing w:after="0" w:lineRule="auto"/>
      <w:jc w:val="left"/>
      <w:rPr>
        <w:rFonts w:ascii="Verdana" w:cs="Verdana" w:eastAsia="Verdana" w:hAnsi="Verdana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4"/>
        <w:szCs w:val="24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7180390</wp:posOffset>
          </wp:positionH>
          <wp:positionV relativeFrom="paragraph">
            <wp:posOffset>0</wp:posOffset>
          </wp:positionV>
          <wp:extent cx="2028190" cy="770890"/>
          <wp:effectExtent b="0" l="0" r="0" t="0"/>
          <wp:wrapNone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345" l="0" r="0" t="12345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7">
    <w:pPr>
      <w:tabs>
        <w:tab w:val="left" w:leader="none" w:pos="1440"/>
      </w:tabs>
      <w:spacing w:after="0" w:lineRule="auto"/>
      <w:jc w:val="left"/>
      <w:rPr>
        <w:rFonts w:ascii="Verdana" w:cs="Verdana" w:eastAsia="Verdana" w:hAnsi="Verdana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tabs>
        <w:tab w:val="left" w:leader="none" w:pos="720"/>
      </w:tabs>
      <w:spacing w:after="0" w:lineRule="auto"/>
      <w:jc w:val="left"/>
      <w:rPr>
        <w:color w:val="a6ce39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a6ce39"/>
        <w:sz w:val="40"/>
        <w:szCs w:val="40"/>
        <w:rtl w:val="0"/>
      </w:rPr>
      <w:t xml:space="preserve">Programación de aula – Unidad 5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sa" w:cs="Rasa" w:eastAsia="Rasa" w:hAnsi="Ras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iedepgina">
    <w:name w:val="footer"/>
    <w:basedOn w:val="Normal"/>
    <w:link w:val="PiedepginaCar"/>
    <w:rsid w:val="001702D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paragraph" w:styleId="Prrafodelista">
    <w:name w:val="List Paragraph"/>
    <w:basedOn w:val="Normal"/>
    <w:uiPriority w:val="34"/>
    <w:qFormat w:val="1"/>
    <w:rsid w:val="001702D2"/>
    <w:pPr>
      <w:ind w:left="708"/>
    </w:pPr>
  </w:style>
  <w:style w:type="character" w:styleId="ng-directive" w:customStyle="1">
    <w:name w:val="ng-directive"/>
    <w:basedOn w:val="Fuentedeprrafopredeter"/>
    <w:rsid w:val="001702D2"/>
  </w:style>
  <w:style w:type="paragraph" w:styleId="TIT1" w:customStyle="1">
    <w:name w:val="_TIT1"/>
    <w:basedOn w:val="Normal"/>
    <w:link w:val="TIT1Car"/>
    <w:qFormat w:val="1"/>
    <w:rsid w:val="001702D2"/>
    <w:pPr>
      <w:spacing w:before="360"/>
    </w:pPr>
    <w:rPr>
      <w:rFonts w:ascii="Verdana" w:hAnsi="Verdana"/>
      <w:b w:val="1"/>
      <w:bCs w:val="1"/>
      <w:sz w:val="44"/>
      <w:szCs w:val="44"/>
      <w:lang w:val="en-US"/>
    </w:rPr>
  </w:style>
  <w:style w:type="character" w:styleId="TIT1Car" w:customStyle="1">
    <w:name w:val="_TIT1 Car"/>
    <w:basedOn w:val="Fuentedeprrafopredeter"/>
    <w:link w:val="TIT1"/>
    <w:rsid w:val="001702D2"/>
    <w:rPr>
      <w:rFonts w:ascii="Verdana" w:cs="Times New Roman" w:eastAsia="Times New Roman" w:hAnsi="Verdana"/>
      <w:b w:val="1"/>
      <w:bCs w:val="1"/>
      <w:sz w:val="44"/>
      <w:szCs w:val="44"/>
      <w:lang w:eastAsia="es-ES" w:val="en-US"/>
    </w:rPr>
  </w:style>
  <w:style w:type="paragraph" w:styleId="Prrafodelista1" w:customStyle="1">
    <w:name w:val="Párrafo de lista1"/>
    <w:basedOn w:val="Normal"/>
    <w:uiPriority w:val="99"/>
    <w:qFormat w:val="1"/>
    <w:rsid w:val="001702D2"/>
    <w:pPr>
      <w:ind w:left="708"/>
    </w:pPr>
    <w:rPr>
      <w:rFonts w:cs="SRA Sans 1.0"/>
      <w:sz w:val="24"/>
      <w:szCs w:val="24"/>
      <w:lang w:val="es-ES_tradnl"/>
    </w:rPr>
  </w:style>
  <w:style w:type="paragraph" w:styleId="TABLAtxtnegraTABLA" w:customStyle="1">
    <w:name w:val="TABLA _txt negra (TABLA)"/>
    <w:basedOn w:val="Normal"/>
    <w:uiPriority w:val="99"/>
    <w:rsid w:val="001702D2"/>
    <w:pPr>
      <w:tabs>
        <w:tab w:val="left" w:pos="283"/>
      </w:tabs>
      <w:autoSpaceDE w:val="0"/>
      <w:autoSpaceDN w:val="0"/>
      <w:adjustRightInd w:val="0"/>
      <w:spacing w:after="113" w:line="240" w:lineRule="atLeast"/>
      <w:textAlignment w:val="center"/>
    </w:pPr>
    <w:rPr>
      <w:rFonts w:ascii="ClanPro-CondNews" w:cs="ClanPro-CondNews" w:eastAsia="MS Mincho" w:hAnsi="ClanPro-CondNews"/>
      <w:color w:val="000000"/>
      <w:sz w:val="24"/>
      <w:szCs w:val="24"/>
      <w:lang w:val="es-ES_tradnl"/>
    </w:rPr>
  </w:style>
  <w:style w:type="character" w:styleId="TABLAnegraTABLA" w:customStyle="1">
    <w:name w:val="TABLA_negra (TABLA)"/>
    <w:uiPriority w:val="99"/>
    <w:rsid w:val="001702D2"/>
    <w:rPr>
      <w:rFonts w:ascii="ClanPro-CondNews" w:hAnsi="ClanPro-CondNews"/>
      <w:sz w:val="20"/>
    </w:rPr>
  </w:style>
  <w:style w:type="paragraph" w:styleId="NormalWeb">
    <w:name w:val="Normal (Web)"/>
    <w:basedOn w:val="Normal"/>
    <w:uiPriority w:val="99"/>
    <w:rsid w:val="001702D2"/>
    <w:pPr>
      <w:spacing w:afterLines="1" w:beforeLines="1"/>
      <w:jc w:val="left"/>
    </w:pPr>
    <w:rPr>
      <w:rFonts w:ascii="Times" w:cs="Times" w:hAnsi="Times"/>
      <w:sz w:val="24"/>
      <w:szCs w:val="24"/>
      <w:lang w:eastAsia="en-US" w:val="en-US"/>
    </w:rPr>
  </w:style>
  <w:style w:type="paragraph" w:styleId="OmniPage9" w:customStyle="1">
    <w:name w:val="OmniPage #9"/>
    <w:basedOn w:val="Normal"/>
    <w:uiPriority w:val="99"/>
    <w:rsid w:val="001702D2"/>
    <w:pPr>
      <w:tabs>
        <w:tab w:val="left" w:pos="60"/>
      </w:tabs>
      <w:suppressAutoHyphens w:val="1"/>
      <w:autoSpaceDE w:val="0"/>
      <w:spacing w:after="0" w:line="286" w:lineRule="atLeast"/>
      <w:ind w:left="1425" w:right="45"/>
    </w:pPr>
    <w:rPr>
      <w:rFonts w:ascii="Arial" w:cs="Arial" w:hAnsi="Arial"/>
      <w:lang w:eastAsia="ar-SA" w:val="en-US"/>
    </w:rPr>
  </w:style>
  <w:style w:type="paragraph" w:styleId="Pa6" w:customStyle="1">
    <w:name w:val="Pa6"/>
    <w:basedOn w:val="Normal"/>
    <w:next w:val="Normal"/>
    <w:uiPriority w:val="99"/>
    <w:rsid w:val="001702D2"/>
    <w:pPr>
      <w:autoSpaceDE w:val="0"/>
      <w:autoSpaceDN w:val="0"/>
      <w:adjustRightInd w:val="0"/>
      <w:spacing w:after="0" w:line="201" w:lineRule="atLeast"/>
      <w:jc w:val="left"/>
    </w:pPr>
    <w:rPr>
      <w:rFonts w:ascii="Arial" w:cs="Arial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1702D2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table" w:styleId="a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Wojr+o9jzFq5pqRvdAHMTmHbw==">CgMxLjA4AHIhMS1LMWNNZkM2QThNTkx2cVBEbEx0ZXdVV2pOT1FEZU5T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5FB6129-CE8D-40A5-883D-BA81307DB698}"/>
</file>

<file path=customXML/itemProps3.xml><?xml version="1.0" encoding="utf-8"?>
<ds:datastoreItem xmlns:ds="http://schemas.openxmlformats.org/officeDocument/2006/customXml" ds:itemID="{161C1E74-47E8-42D9-A237-3B2257D56ED9}"/>
</file>

<file path=customXML/itemProps4.xml><?xml version="1.0" encoding="utf-8"?>
<ds:datastoreItem xmlns:ds="http://schemas.openxmlformats.org/officeDocument/2006/customXml" ds:itemID="{DFF86A34-70A2-4E8F-80F1-4445AAE9F50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 Victoria de la Iglesia Meleiro</dc:creator>
  <dcterms:created xsi:type="dcterms:W3CDTF">2026-03-10T18:29:00Z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