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d4b2d4" w:space="0" w:sz="4" w:val="single"/>
          <w:left w:color="d4b2d4" w:space="0" w:sz="4" w:val="single"/>
          <w:bottom w:color="d4b2d4" w:space="0" w:sz="4" w:val="single"/>
          <w:right w:color="d4b2d4" w:space="0" w:sz="4" w:val="single"/>
          <w:insideH w:color="d4b2d4" w:space="0" w:sz="4" w:val="single"/>
          <w:insideV w:color="d4b2d4" w:space="0" w:sz="4" w:val="single"/>
        </w:tblBorders>
        <w:tblLayout w:type="fixed"/>
        <w:tblLook w:val="0000"/>
      </w:tblPr>
      <w:tblGrid>
        <w:gridCol w:w="7904"/>
        <w:gridCol w:w="6604"/>
        <w:tblGridChange w:id="0">
          <w:tblGrid>
            <w:gridCol w:w="7904"/>
            <w:gridCol w:w="6604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gridSpan w:val="2"/>
            <w:tcBorders>
              <w:top w:color="d4b2d4" w:space="0" w:sz="4" w:val="single"/>
              <w:bottom w:color="d4b2d4" w:space="0" w:sz="4" w:val="single"/>
            </w:tcBorders>
            <w:shd w:fill="96378c" w:val="clear"/>
            <w:vAlign w:val="center"/>
          </w:tcPr>
          <w:p w:rsidR="00000000" w:rsidDel="00000000" w:rsidP="00000000" w:rsidRDefault="00000000" w:rsidRPr="00000000" w14:paraId="00000002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highlight w:val="cy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UNIDAD 01. ENTRE MONJES Y JUGLARES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right w:color="d4b2d4" w:space="0" w:sz="4" w:val="single"/>
            </w:tcBorders>
            <w:shd w:fill="d4b2d4" w:val="clear"/>
            <w:vAlign w:val="center"/>
          </w:tcPr>
          <w:bookmarkStart w:colFirst="0" w:colLast="0" w:name="bookmark=kix.pfzmxiimg5qo" w:id="0"/>
          <w:bookmarkEnd w:id="0"/>
          <w:p w:rsidR="00000000" w:rsidDel="00000000" w:rsidP="00000000" w:rsidRDefault="00000000" w:rsidRPr="00000000" w14:paraId="00000004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OBJETIVOS DE LA UNIDAD</w:t>
            </w:r>
          </w:p>
        </w:tc>
        <w:tc>
          <w:tcPr>
            <w:tcBorders>
              <w:left w:color="d4b2d4" w:space="0" w:sz="4" w:val="single"/>
            </w:tcBorders>
            <w:shd w:fill="d4b2d4" w:val="clear"/>
            <w:vAlign w:val="center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COMPETENCIAS CLAVE (CCC) DE LA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right w:color="d4b2d4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b) Desarrollar y consolidar hábitos de disciplina, estudio y trabajo individual y en equipo como condición necesaria para una realización eficaz de las tareas del aprendizaje y como medio de desarrollo personal.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c) Valorar y respetar la diferencia de sexos y la igualdad de derechos y oportunidades entre ellos. Rechazar los estereotipos que supongan discriminación entre hombres y mujeres.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e) Desarrollar destrezas básicas en la utilización de las fuentes de información para, con sentido crítico, adquirir nuevos conocimientos. Desarrollar las competencias tecnológicas básicas y avanzar en una reflexión ética sobre su funcionamiento y utilización.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g) Desarrollar el espíritu emprendedor y la confianza en sí mismo, la participación, el sentido crítico, la iniciativa personal y la capacidad para aprender a aprender, planificar, tomar decisiones y asumir responsabilidades.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h) Comprender y expresar con corrección, oralmente y por escrito, en la lengua castellana y, si la hubiere, en la lengua cooficial de la comunidad autónoma, textos y mensajes complejos, e iniciarse en el conocimiento, la lectura y el estudio de la literatura.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j) Conocer, valorar y respetar los aspectos básicos de la cultura y la historia propias y de las demás personas, así como el patrimonio artístico y cultural.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l) Apreciar la creación artística y comprender el lenguaje de las distintas manifestaciones artísticas, utilizando diversos medios de expresión y representación.</w:t>
            </w:r>
          </w:p>
        </w:tc>
        <w:tc>
          <w:tcPr>
            <w:tcBorders>
              <w:left w:color="d4b2d4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lef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after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en comunicación lingüística. 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after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plurilingüe.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ind w:lef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after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matemática y competencia en ciencia, tecnología e ingeniería. 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after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digital. 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after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personal, social y de aprender a aprender.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after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ciudadana.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after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emprendedora. 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ind w:left="72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Competencia en conciencia y expresión culturales. 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jc w:val="lef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283"/>
              </w:tabs>
              <w:spacing w:after="0" w:lineRule="auto"/>
              <w:jc w:val="lef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shd w:fill="96378c" w:val="clear"/>
            <w:vAlign w:val="center"/>
          </w:tcPr>
          <w:p w:rsidR="00000000" w:rsidDel="00000000" w:rsidP="00000000" w:rsidRDefault="00000000" w:rsidRPr="00000000" w14:paraId="00000025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TEMPORIZACIÓN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8 sesiones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Rule="auto"/>
        <w:jc w:val="left"/>
        <w:rPr>
          <w:rFonts w:ascii="Arial" w:cs="Arial" w:eastAsia="Arial" w:hAnsi="Arial"/>
          <w:b w:val="1"/>
          <w:bCs w:val="1"/>
          <w:color w:val="96378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center"/>
        <w:tblBorders>
          <w:top w:color="d4b2d4" w:space="0" w:sz="4" w:val="single"/>
          <w:left w:color="d4b2d4" w:space="0" w:sz="4" w:val="single"/>
          <w:bottom w:color="d4b2d4" w:space="0" w:sz="4" w:val="single"/>
          <w:right w:color="d4b2d4" w:space="0" w:sz="4" w:val="single"/>
          <w:insideH w:color="d4b2d4" w:space="0" w:sz="4" w:val="single"/>
          <w:insideV w:color="d4b2d4" w:space="0" w:sz="4" w:val="single"/>
        </w:tblBorders>
        <w:tblLayout w:type="fixed"/>
        <w:tblLook w:val="0000"/>
      </w:tblPr>
      <w:tblGrid>
        <w:gridCol w:w="2355"/>
        <w:gridCol w:w="2445"/>
        <w:gridCol w:w="3825"/>
        <w:gridCol w:w="1440"/>
        <w:gridCol w:w="2280"/>
        <w:gridCol w:w="2055"/>
        <w:tblGridChange w:id="0">
          <w:tblGrid>
            <w:gridCol w:w="2355"/>
            <w:gridCol w:w="2445"/>
            <w:gridCol w:w="3825"/>
            <w:gridCol w:w="1440"/>
            <w:gridCol w:w="2280"/>
            <w:gridCol w:w="2055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6"/>
            <w:shd w:fill="96378c" w:val="clear"/>
            <w:vAlign w:val="center"/>
          </w:tcPr>
          <w:p w:rsidR="00000000" w:rsidDel="00000000" w:rsidP="00000000" w:rsidRDefault="00000000" w:rsidRPr="00000000" w14:paraId="0000002C">
            <w:pPr>
              <w:spacing w:after="20" w:before="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UNIDAD 01. ENTRE MONJES Y JUGLARES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96378c" w:val="clear"/>
          </w:tcPr>
          <w:p w:rsidR="00000000" w:rsidDel="00000000" w:rsidP="00000000" w:rsidRDefault="00000000" w:rsidRPr="00000000" w14:paraId="00000032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right w:color="d4b2d4" w:space="0" w:sz="4" w:val="single"/>
            </w:tcBorders>
            <w:shd w:fill="d4b2d4" w:val="clear"/>
            <w:vAlign w:val="center"/>
          </w:tcPr>
          <w:p w:rsidR="00000000" w:rsidDel="00000000" w:rsidP="00000000" w:rsidRDefault="00000000" w:rsidRPr="00000000" w14:paraId="00000038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Saberes básicos</w:t>
            </w:r>
          </w:p>
        </w:tc>
        <w:tc>
          <w:tcPr>
            <w:tcBorders>
              <w:left w:color="d4b2d4" w:space="0" w:sz="4" w:val="single"/>
              <w:right w:color="d4b2d4" w:space="0" w:sz="4" w:val="single"/>
            </w:tcBorders>
            <w:shd w:fill="d4b2d4" w:val="clear"/>
            <w:vAlign w:val="center"/>
          </w:tcPr>
          <w:p w:rsidR="00000000" w:rsidDel="00000000" w:rsidP="00000000" w:rsidRDefault="00000000" w:rsidRPr="00000000" w14:paraId="00000039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Competencias específicas</w:t>
            </w:r>
          </w:p>
        </w:tc>
        <w:tc>
          <w:tcPr>
            <w:tcBorders>
              <w:left w:color="d4b2d4" w:space="0" w:sz="4" w:val="single"/>
              <w:right w:color="d4b2d4" w:space="0" w:sz="4" w:val="single"/>
            </w:tcBorders>
            <w:shd w:fill="d4b2d4" w:val="clear"/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Criterios de evaluación</w:t>
            </w:r>
          </w:p>
        </w:tc>
        <w:tc>
          <w:tcPr>
            <w:tcBorders>
              <w:left w:color="d4b2d4" w:space="0" w:sz="4" w:val="single"/>
              <w:bottom w:color="d4b2d4" w:space="0" w:sz="4" w:val="single"/>
              <w:right w:color="d4b2d4" w:space="0" w:sz="4" w:val="single"/>
            </w:tcBorders>
            <w:shd w:fill="d4b2d4" w:val="clear"/>
            <w:vAlign w:val="center"/>
          </w:tcPr>
          <w:p w:rsidR="00000000" w:rsidDel="00000000" w:rsidP="00000000" w:rsidRDefault="00000000" w:rsidRPr="00000000" w14:paraId="0000003B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Descriptores de perfil de salida</w:t>
            </w:r>
          </w:p>
        </w:tc>
        <w:tc>
          <w:tcPr>
            <w:tcBorders>
              <w:left w:color="d4b2d4" w:space="0" w:sz="4" w:val="single"/>
              <w:right w:color="d4b2d4" w:space="0" w:sz="4" w:val="single"/>
            </w:tcBorders>
            <w:shd w:fill="d4b2d4" w:val="clear"/>
            <w:vAlign w:val="center"/>
          </w:tcPr>
          <w:p w:rsidR="00000000" w:rsidDel="00000000" w:rsidP="00000000" w:rsidRDefault="00000000" w:rsidRPr="00000000" w14:paraId="0000003C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Relación con los epígrafes de la unidad McGraw-Hill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064a2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4b2d4" w:space="0" w:sz="4" w:val="single"/>
            </w:tcBorders>
            <w:shd w:fill="d4b2d4" w:val="clear"/>
            <w:vAlign w:val="center"/>
          </w:tcPr>
          <w:p w:rsidR="00000000" w:rsidDel="00000000" w:rsidP="00000000" w:rsidRDefault="00000000" w:rsidRPr="00000000" w14:paraId="0000003D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Actividades de la unidad en relación con los descriptores de perfil de salida</w:t>
            </w:r>
          </w:p>
        </w:tc>
      </w:tr>
      <w:tr>
        <w:trPr>
          <w:cantSplit w:val="0"/>
          <w:trHeight w:val="84" w:hRule="atLeast"/>
          <w:tblHeader w:val="0"/>
        </w:trPr>
        <w:tc>
          <w:tcPr>
            <w:tcBorders>
              <w:right w:color="d4b2d4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A. Escucha y percepción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203709544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 Obras musicales y dancísticas: análisis, descripción y valoración de sus características básicas. Géneros de la música y la danza.</w:t>
                </w:r>
              </w:sdtContent>
            </w:sdt>
          </w:p>
          <w:p w:rsidR="00000000" w:rsidDel="00000000" w:rsidP="00000000" w:rsidRDefault="00000000" w:rsidRPr="00000000" w14:paraId="00000040">
            <w:pPr>
              <w:spacing w:after="0" w:lineRule="auto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sdt>
              <w:sdtPr>
                <w:id w:val="204430247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rtl w:val="0"/>
                  </w:rPr>
                  <w:t xml:space="preserve">− Compositores y compositoras, artistas e intérpretes internacionales, nacionales, regionales y locales.</w:t>
                </w:r>
              </w:sdtContent>
            </w:sdt>
          </w:p>
          <w:p w:rsidR="00000000" w:rsidDel="00000000" w:rsidP="00000000" w:rsidRDefault="00000000" w:rsidRPr="00000000" w14:paraId="0000004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Voces e instrumentos: clasificación general de los instrumentos por familias y características. Agrupaciones.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Conciertos, actuaciones musicales y otras manifestaciones artístico-musicales en vivo y registradas.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sdt>
              <w:sdtPr>
                <w:id w:val="-142354565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2"/>
                    <w:szCs w:val="22"/>
                    <w:rtl w:val="0"/>
                  </w:rPr>
                  <w:t xml:space="preserve">− Estrategias de búsqueda, selección y reelaboración de información fiable, pertinente y de calidad.</w:t>
                </w:r>
              </w:sdtContent>
            </w:sdt>
          </w:p>
          <w:p w:rsidR="00000000" w:rsidDel="00000000" w:rsidP="00000000" w:rsidRDefault="00000000" w:rsidRPr="00000000" w14:paraId="0000004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Normas de comportamiento básicas en la recepción musical: respeto y valoración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B. Interpretación, improvisación y creación escénica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99745675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 La partitura: identificación y aplicación de grafías, lectura y escritura musical.</w:t>
                </w:r>
              </w:sdtContent>
            </w:sdt>
          </w:p>
          <w:p w:rsidR="00000000" w:rsidDel="00000000" w:rsidP="00000000" w:rsidRDefault="00000000" w:rsidRPr="00000000" w14:paraId="00000048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206016020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 Elementos básicos del lenguaje musical: parámetros del sonido, intervalos. Tonalidad: escalas musicales, la armadura y acordes básicos. Texturas. Formas musicales a lo largo de los periodos históricos y en la actualidad.</w:t>
                </w:r>
              </w:sdtContent>
            </w:sdt>
          </w:p>
          <w:p w:rsidR="00000000" w:rsidDel="00000000" w:rsidP="00000000" w:rsidRDefault="00000000" w:rsidRPr="00000000" w14:paraId="0000004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26409250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 Principales géneros musicales y escénicos del patrimonio cultural.</w:t>
                </w:r>
              </w:sdtContent>
            </w:sdt>
          </w:p>
          <w:p w:rsidR="00000000" w:rsidDel="00000000" w:rsidP="00000000" w:rsidRDefault="00000000" w:rsidRPr="00000000" w14:paraId="0000004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03136329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 Repertorio vocal, instrumental o corporal individual o grupal de distintos tipos de música del patrimonio musical propio y de otras culturas.</w:t>
                </w:r>
              </w:sdtContent>
            </w:sdt>
          </w:p>
          <w:p w:rsidR="00000000" w:rsidDel="00000000" w:rsidP="00000000" w:rsidRDefault="00000000" w:rsidRPr="00000000" w14:paraId="0000004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40777238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 Proyectos musicales y audiovisuales: empleo de la voz, el cuerpo, los instrumentos musicales, los medios y las aplicaciones tecnológicas.</w:t>
                </w:r>
              </w:sdtContent>
            </w:sdt>
          </w:p>
          <w:p w:rsidR="00000000" w:rsidDel="00000000" w:rsidP="00000000" w:rsidRDefault="00000000" w:rsidRPr="00000000" w14:paraId="0000004C">
            <w:pPr>
              <w:spacing w:after="0" w:lineRule="auto"/>
              <w:ind w:lef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Normas de comportamiento y participación en actividades musicales.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C. Contextos y culturas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806556498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− Historia de la música y de la danza occidental: periodos, características, géneros, voces, instrumentos y agrupaciones.</w:t>
                </w:r>
              </w:sdtContent>
            </w:sdt>
          </w:p>
          <w:p w:rsidR="00000000" w:rsidDel="00000000" w:rsidP="00000000" w:rsidRDefault="00000000" w:rsidRPr="00000000" w14:paraId="0000005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- Tradiciones musicales y dancísticas de otras culturas del mundo.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45158931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− Músicas populares, urbanas y contemporáneas.</w:t>
                </w:r>
              </w:sdtContent>
            </w:sdt>
          </w:p>
          <w:p w:rsidR="00000000" w:rsidDel="00000000" w:rsidP="00000000" w:rsidRDefault="00000000" w:rsidRPr="00000000" w14:paraId="00000054">
            <w:pPr>
              <w:spacing w:after="0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4b2d4" w:space="0" w:sz="4" w:val="single"/>
              <w:right w:color="d4b2d4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Competencia 1</w:t>
            </w:r>
          </w:p>
          <w:p w:rsidR="00000000" w:rsidDel="00000000" w:rsidP="00000000" w:rsidRDefault="00000000" w:rsidRPr="00000000" w14:paraId="00000056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Analizar obras de diferentes épocas y culturas, identificando sus principales rasgos estilísticos y estableciendo relaciones con su contexto, para valorar el patrimonio musical y dancístico como fuente de disfrute y enriquecimiento personal.</w:t>
            </w:r>
          </w:p>
          <w:p w:rsidR="00000000" w:rsidDel="00000000" w:rsidP="00000000" w:rsidRDefault="00000000" w:rsidRPr="00000000" w14:paraId="00000057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Competencia 3</w:t>
            </w:r>
          </w:p>
          <w:p w:rsidR="00000000" w:rsidDel="00000000" w:rsidP="00000000" w:rsidRDefault="00000000" w:rsidRPr="00000000" w14:paraId="0000005F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Interpretar piezas musicales y dancísticas, gestionando adecuadamente las emociones y empleando diversas estrategias y técnicas vocales, corporales o instrumentales, para ampliar las posibilidades de expresión personal.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" w:before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Competencia 4</w:t>
            </w:r>
          </w:p>
          <w:p w:rsidR="00000000" w:rsidDel="00000000" w:rsidP="00000000" w:rsidRDefault="00000000" w:rsidRPr="00000000" w14:paraId="00000066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Crear propuestas artístico-musicales, empleando la voz, el cuerpo, instrumentos musicales y herramientas tecnológicas, para potenciar la creatividad e identificar oportunidades de desarrollo personal, social, académico y profesional.</w:t>
            </w:r>
          </w:p>
          <w:p w:rsidR="00000000" w:rsidDel="00000000" w:rsidP="00000000" w:rsidRDefault="00000000" w:rsidRPr="00000000" w14:paraId="00000067">
            <w:pPr>
              <w:spacing w:after="2" w:before="2" w:lineRule="auto"/>
              <w:ind w:left="360" w:firstLine="0"/>
              <w:jc w:val="lef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2" w:lineRule="auto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4b2d4" w:space="0" w:sz="4" w:val="single"/>
              <w:right w:color="d4b2d4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1.1. Identificar los principales rasgos estilísticos de obras musicales y dancísticas de diferentes épocas y culturas, evidenciando una actitud de apertura, interés y respeto en la escucha o el visionado de las mismas.</w:t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3.1 Leer partituras sencillas, identificando de forma guiada los elementos básicos del lenguaje musical, con o sin apoyo de la audición.</w:t>
            </w:r>
          </w:p>
          <w:p w:rsidR="00000000" w:rsidDel="00000000" w:rsidP="00000000" w:rsidRDefault="00000000" w:rsidRPr="00000000" w14:paraId="0000007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3.2 Emplear técnicas básicas de interpretación vocal, corporal o instrumental, aplicando estrategias de memorización y valorando los ensayos como espacios de escucha y aprendizaje.</w:t>
            </w:r>
          </w:p>
          <w:p w:rsidR="00000000" w:rsidDel="00000000" w:rsidP="00000000" w:rsidRDefault="00000000" w:rsidRPr="00000000" w14:paraId="0000007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Rule="auto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4.2 Participar activamente en la planificación y en la ejecución de propuestas artístico-musicales colaborativas, valorando las aportaciones del resto de integrantes del grupo y descubriendo oportunidades de desarrollo personal, social, académico y profesional.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2d4" w:space="0" w:sz="4" w:val="single"/>
              <w:left w:color="d4b2d4" w:space="0" w:sz="4" w:val="single"/>
              <w:bottom w:color="d4b2d4" w:space="0" w:sz="4" w:val="single"/>
              <w:right w:color="d4b2d4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CCL2, CCL3, CP3, CD1, CD2, CPSAA3, CC1, CCEC1 y CCEC2</w:t>
            </w:r>
          </w:p>
          <w:p w:rsidR="00000000" w:rsidDel="00000000" w:rsidP="00000000" w:rsidRDefault="00000000" w:rsidRPr="00000000" w14:paraId="0000008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CCL1, CD2, CPSAA1, CPSAA3, CC1, CE1, CCEC3</w:t>
            </w:r>
          </w:p>
          <w:p w:rsidR="00000000" w:rsidDel="00000000" w:rsidP="00000000" w:rsidRDefault="00000000" w:rsidRPr="00000000" w14:paraId="00000099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CCL1, STEM3, CD2, CPSAA3, CC1, CE1, CE3, CCEC3, CCEC4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4b2d4" w:space="0" w:sz="4" w:val="single"/>
              <w:left w:color="d4b2d4" w:space="0" w:sz="4" w:val="single"/>
              <w:bottom w:color="d4b2d4" w:space="0" w:sz="4" w:val="single"/>
              <w:right w:color="d4b2d4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Música en el medievo</w:t>
            </w:r>
          </w:p>
          <w:p w:rsidR="00000000" w:rsidDel="00000000" w:rsidP="00000000" w:rsidRDefault="00000000" w:rsidRPr="00000000" w14:paraId="000000B1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Auditorio y videoteca medievales</w:t>
            </w:r>
          </w:p>
          <w:p w:rsidR="00000000" w:rsidDel="00000000" w:rsidP="00000000" w:rsidRDefault="00000000" w:rsidRPr="00000000" w14:paraId="000000B3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 Interpretamos música medieval</w:t>
            </w:r>
          </w:p>
          <w:p w:rsidR="00000000" w:rsidDel="00000000" w:rsidP="00000000" w:rsidRDefault="00000000" w:rsidRPr="00000000" w14:paraId="000000B7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 El mundo de los instrumentos</w:t>
            </w:r>
          </w:p>
          <w:p w:rsidR="00000000" w:rsidDel="00000000" w:rsidP="00000000" w:rsidRDefault="00000000" w:rsidRPr="00000000" w14:paraId="000000B9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 Teoría musical: el acorde (I)</w:t>
            </w:r>
          </w:p>
          <w:p w:rsidR="00000000" w:rsidDel="00000000" w:rsidP="00000000" w:rsidRDefault="00000000" w:rsidRPr="00000000" w14:paraId="000000BB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Escuela de músicos: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spacing w:after="0" w:afterAutospacing="0" w:before="2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 mucho ritmo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Práctiva de láminas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"/>
              </w:numPr>
              <w:spacing w:after="2" w:before="0" w:beforeAutospacing="0" w:lineRule="auto"/>
              <w:ind w:left="72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Afinando</w:t>
            </w:r>
          </w:p>
          <w:p w:rsidR="00000000" w:rsidDel="00000000" w:rsidP="00000000" w:rsidRDefault="00000000" w:rsidRPr="00000000" w14:paraId="000000C0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Músicas del mundi: La música árabe</w:t>
            </w:r>
          </w:p>
          <w:p w:rsidR="00000000" w:rsidDel="00000000" w:rsidP="00000000" w:rsidRDefault="00000000" w:rsidRPr="00000000" w14:paraId="000000C2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Concierto: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2"/>
              </w:numPr>
              <w:spacing w:after="0" w:afterAutospacing="0" w:before="2" w:lineRule="auto"/>
              <w:ind w:left="720" w:hanging="360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Demasiado funk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2"/>
              </w:numPr>
              <w:spacing w:after="2" w:before="0" w:beforeAutospacing="0" w:lineRule="auto"/>
              <w:ind w:left="720" w:hanging="360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Auditorio moderno: cantautores</w:t>
            </w:r>
          </w:p>
          <w:p w:rsidR="00000000" w:rsidDel="00000000" w:rsidP="00000000" w:rsidRDefault="00000000" w:rsidRPr="00000000" w14:paraId="000000CA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Mapa conceptual</w:t>
            </w:r>
          </w:p>
          <w:p w:rsidR="00000000" w:rsidDel="00000000" w:rsidP="00000000" w:rsidRDefault="00000000" w:rsidRPr="00000000" w14:paraId="000000D0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2" w:before="2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2" w:before="2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Lectura del día: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El eco de la abadía Cluny</w:t>
            </w:r>
          </w:p>
          <w:p w:rsidR="00000000" w:rsidDel="00000000" w:rsidP="00000000" w:rsidRDefault="00000000" w:rsidRPr="00000000" w14:paraId="000000DB">
            <w:pPr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4b2d4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Atrévete: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CCL1, CCEC1</w:t>
            </w:r>
          </w:p>
          <w:p w:rsidR="00000000" w:rsidDel="00000000" w:rsidP="00000000" w:rsidRDefault="00000000" w:rsidRPr="00000000" w14:paraId="000000DD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Reflexión inicial sobre la música en la Edad Media: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CCL1, CCL2, CCEC1</w:t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Auditorio y videoteca medievales: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CCEC2, CCEC3, CCL2 </w:t>
            </w:r>
          </w:p>
          <w:p w:rsidR="00000000" w:rsidDel="00000000" w:rsidP="00000000" w:rsidRDefault="00000000" w:rsidRPr="00000000" w14:paraId="000000E4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Actividades (1-6):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CCL3, CC1, CCEC3</w:t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Con mucho ritmo, Práctica de láminas y Afinando: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STEM3, CD1, CCEC4</w:t>
            </w:r>
          </w:p>
          <w:p w:rsidR="00000000" w:rsidDel="00000000" w:rsidP="00000000" w:rsidRDefault="00000000" w:rsidRPr="00000000" w14:paraId="000000ED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Músicas del mundo: La música árabe: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CC1, CCEC3, CCEC4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Concierto: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CPSAA1, CPSAA3, CC1, CD2</w:t>
            </w:r>
          </w:p>
          <w:p w:rsidR="00000000" w:rsidDel="00000000" w:rsidP="00000000" w:rsidRDefault="00000000" w:rsidRPr="00000000" w14:paraId="000000F2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Auditorio moderno: cantautores: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CCL1, CCEC3, CPSAA3</w:t>
            </w:r>
          </w:p>
          <w:p w:rsidR="00000000" w:rsidDel="00000000" w:rsidP="00000000" w:rsidRDefault="00000000" w:rsidRPr="00000000" w14:paraId="000000F4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Actividades finales (1-9):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CCL3, CPSAA3, CC1</w:t>
            </w:r>
          </w:p>
          <w:p w:rsidR="00000000" w:rsidDel="00000000" w:rsidP="00000000" w:rsidRDefault="00000000" w:rsidRPr="00000000" w14:paraId="000000F8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Aprende jugando (1-2):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CPSAA1, CPSAA3, CC1</w:t>
            </w:r>
          </w:p>
          <w:p w:rsidR="00000000" w:rsidDel="00000000" w:rsidP="00000000" w:rsidRDefault="00000000" w:rsidRPr="00000000" w14:paraId="000000FA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Lectura del día: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CCL1, CCL2, CCEC1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C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rtl w:val="0"/>
              </w:rPr>
              <w:t xml:space="preserve">Atrévete: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CD2, CE1, CE3, CCEC3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tabs>
                <w:tab w:val="left" w:leader="none" w:pos="516"/>
              </w:tabs>
              <w:spacing w:after="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tabs>
          <w:tab w:val="left" w:leader="none" w:pos="3647"/>
        </w:tabs>
        <w:rPr>
          <w:rFonts w:ascii="Arial" w:cs="Arial" w:eastAsia="Arial" w:hAnsi="Arial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0" w:lineRule="auto"/>
        <w:rPr>
          <w:rFonts w:ascii="Arial" w:cs="Arial" w:eastAsia="Arial" w:hAnsi="Arial"/>
          <w:color w:val="40404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701" w:top="1429" w:left="1077" w:right="748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Arial Unicode MS"/>
  <w:font w:name="Calibri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Música Clave B ESO. Programación.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</wp:posOffset>
          </wp:positionH>
          <wp:positionV relativeFrom="paragraph">
            <wp:posOffset>181941</wp:posOffset>
          </wp:positionV>
          <wp:extent cx="280035" cy="280035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035" cy="2800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8">
    <w:pPr>
      <w:tabs>
        <w:tab w:val="right" w:leader="none" w:pos="10065"/>
      </w:tabs>
      <w:rPr>
        <w:rFonts w:ascii="Times" w:cs="Times" w:eastAsia="Times" w:hAnsi="Times"/>
      </w:rPr>
    </w:pPr>
    <w:r w:rsidDel="00000000" w:rsidR="00000000" w:rsidRPr="00000000">
      <w:rPr>
        <w:color w:val="808080"/>
        <w:sz w:val="18"/>
        <w:szCs w:val="18"/>
        <w:rtl w:val="0"/>
      </w:rPr>
      <w:t xml:space="preserve">            </w:t>
    </w: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 Education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8188194</wp:posOffset>
          </wp:positionH>
          <wp:positionV relativeFrom="page">
            <wp:posOffset>-85718</wp:posOffset>
          </wp:positionV>
          <wp:extent cx="2028190" cy="770890"/>
          <wp:effectExtent b="0" l="0" r="0" t="0"/>
          <wp:wrapSquare wrapText="bothSides" distB="0" distT="0" distL="114300" distR="114300"/>
          <wp:docPr id="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8190" cy="770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96378c"/>
        <w:sz w:val="44"/>
        <w:szCs w:val="44"/>
      </w:rPr>
    </w:pPr>
    <w:r w:rsidDel="00000000" w:rsidR="00000000" w:rsidRPr="00000000">
      <w:rPr>
        <w:b w:val="1"/>
        <w:bCs w:val="1"/>
        <w:color w:val="96378c"/>
        <w:sz w:val="44"/>
        <w:szCs w:val="44"/>
        <w:rtl w:val="0"/>
      </w:rPr>
      <w:t xml:space="preserve">Programación de aula</w:t>
    </w:r>
  </w:p>
  <w:p w:rsidR="00000000" w:rsidDel="00000000" w:rsidP="00000000" w:rsidRDefault="00000000" w:rsidRPr="00000000" w14:paraId="00000106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2Char" w:customStyle="1">
    <w:name w:val="Heading 2 Char"/>
    <w:basedOn w:val="DefaultParagraphFont"/>
    <w:link w:val="Heading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Header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Footer">
    <w:name w:val="footer"/>
    <w:basedOn w:val="Normal"/>
    <w:link w:val="FooterChar"/>
    <w:rsid w:val="002A7502"/>
    <w:pPr>
      <w:tabs>
        <w:tab w:val="center" w:pos="4252"/>
        <w:tab w:val="right" w:pos="8504"/>
      </w:tabs>
    </w:pPr>
  </w:style>
  <w:style w:type="paragraph" w:styleId="I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I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I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I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I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I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I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I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I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IndexHeading">
    <w:name w:val="index heading"/>
    <w:basedOn w:val="Normal"/>
    <w:next w:val="I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Hyperlink">
    <w:name w:val="Hyperlink"/>
    <w:basedOn w:val="DefaultParagraphFont"/>
    <w:rsid w:val="00D97595"/>
    <w:rPr>
      <w:color w:val="0000ff"/>
      <w:u w:val="single"/>
    </w:rPr>
  </w:style>
  <w:style w:type="character" w:styleId="CommentReference">
    <w:name w:val="annotation reference"/>
    <w:basedOn w:val="DefaultParagraphFont"/>
    <w:rsid w:val="00D97595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</w:rPr>
  </w:style>
  <w:style w:type="paragraph" w:styleId="BodyTextI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</w:rPr>
  </w:style>
  <w:style w:type="character" w:styleId="SubtitleChar" w:customStyle="1">
    <w:name w:val="Subtitle Char"/>
    <w:basedOn w:val="DefaultParagraphFont"/>
    <w:link w:val="Subtitle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91720B"/>
    <w:pPr>
      <w:ind w:left="708"/>
    </w:pPr>
  </w:style>
  <w:style w:type="character" w:styleId="FooterChar" w:customStyle="1">
    <w:name w:val="Footer Char"/>
    <w:basedOn w:val="DefaultParagraphFont"/>
    <w:link w:val="Footer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/>
    </w:rPr>
  </w:style>
  <w:style w:type="character" w:styleId="ng-directive" w:customStyle="1">
    <w:name w:val="ng-directive"/>
    <w:basedOn w:val="DefaultParagraphFont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</w:rPr>
  </w:style>
  <w:style w:type="character" w:styleId="paragraphCar" w:customStyle="1">
    <w:name w:val="paragraph Car"/>
    <w:basedOn w:val="DefaultParagraphFont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DefaultParagraphFont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</w:rPr>
  </w:style>
  <w:style w:type="table" w:styleId="TableGrid">
    <w:name w:val="Table Grid"/>
    <w:basedOn w:val="Table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teHeading">
    <w:name w:val="Note Heading"/>
    <w:basedOn w:val="Normal"/>
    <w:next w:val="Normal"/>
    <w:link w:val="NoteHeadingChar"/>
    <w:rsid w:val="007D7616"/>
    <w:pPr>
      <w:spacing w:after="0"/>
    </w:pPr>
  </w:style>
  <w:style w:type="character" w:styleId="NoteHeadingChar" w:customStyle="1">
    <w:name w:val="Note Heading Char"/>
    <w:basedOn w:val="DefaultParagraphFont"/>
    <w:link w:val="NoteHeading"/>
    <w:rsid w:val="007D7616"/>
    <w:rPr>
      <w:rFonts w:ascii="Verdana" w:hAnsi="Verdana"/>
      <w:szCs w:val="22"/>
    </w:rPr>
  </w:style>
  <w:style w:type="paragraph" w:styleId="ListNumber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istBullet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istBullet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D04D9C"/>
    <w:pPr>
      <w:tabs>
        <w:tab w:val="left" w:pos="720"/>
      </w:tabs>
      <w:spacing w:after="0"/>
      <w:jc w:val="left"/>
    </w:pPr>
    <w:rPr>
      <w:rFonts w:cs="Calibri Light"/>
      <w:b w:val="1"/>
      <w:color w:val="96378c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Default" w:customStyle="1">
    <w:name w:val="Default"/>
    <w:rsid w:val="00A843CA"/>
    <w:pPr>
      <w:autoSpaceDE w:val="0"/>
      <w:autoSpaceDN w:val="0"/>
      <w:adjustRightInd w:val="0"/>
      <w:spacing w:after="0"/>
      <w:jc w:val="left"/>
    </w:pPr>
    <w:rPr>
      <w:rFonts w:ascii="Arimo" w:cs="Arimo" w:hAnsi="Arimo" w:eastAsiaTheme="minorHAnsi"/>
      <w:color w:val="000000"/>
      <w:sz w:val="24"/>
      <w:szCs w:val="24"/>
      <w:lang w:eastAsia="en-US" w:val="ca-ES"/>
    </w:r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B05B4"/>
    <w:pPr>
      <w:spacing w:after="120"/>
      <w:ind w:left="0"/>
    </w:pPr>
    <w:rPr>
      <w:rFonts w:ascii="Verdana" w:cs="Verdana" w:hAnsi="Verdana"/>
      <w:b w:val="1"/>
      <w:bCs w:val="1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9B05B4"/>
    <w:rPr>
      <w:rFonts w:ascii="Futura Std Book" w:cs="Futura Std Book" w:hAnsi="Futura Std Book"/>
      <w:sz w:val="24"/>
      <w:szCs w:val="24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B05B4"/>
    <w:rPr>
      <w:rFonts w:ascii="Futura Std Book" w:cs="Futura Std Book" w:hAnsi="Futura Std Book"/>
      <w:b w:val="1"/>
      <w:bCs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AUrPOP+stWBoMirKf6y21hm0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zIQa2l4LnBmem14aWltZzVxbzgAciExckc3c01OVXJ0NF9wM0tDdUJISXBjcWJZSHVnTzBCb0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D4B1369-2026-45D7-A446-B37262C9B2D9}"/>
</file>

<file path=customXML/itemProps3.xml><?xml version="1.0" encoding="utf-8"?>
<ds:datastoreItem xmlns:ds="http://schemas.openxmlformats.org/officeDocument/2006/customXml" ds:itemID="{E960C35B-5D35-439F-8E3F-6B27F878BABA}"/>
</file>

<file path=customXML/itemProps4.xml><?xml version="1.0" encoding="utf-8"?>
<ds:datastoreItem xmlns:ds="http://schemas.openxmlformats.org/officeDocument/2006/customXml" ds:itemID="{5BF61EE5-F901-4557-AC7D-2316D73695D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2022-07-15T15:43:00Z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