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7.0" w:type="dxa"/>
        <w:jc w:val="left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00"/>
      </w:tblPr>
      <w:tblGrid>
        <w:gridCol w:w="2879"/>
        <w:gridCol w:w="2650"/>
        <w:gridCol w:w="2693"/>
        <w:gridCol w:w="2977"/>
        <w:gridCol w:w="3118"/>
        <w:tblGridChange w:id="0">
          <w:tblGrid>
            <w:gridCol w:w="2879"/>
            <w:gridCol w:w="2650"/>
            <w:gridCol w:w="2693"/>
            <w:gridCol w:w="2977"/>
            <w:gridCol w:w="3118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top w:color="fac090" w:space="0" w:sz="4" w:val="single"/>
              <w:left w:color="fac090" w:space="0" w:sz="4" w:val="single"/>
            </w:tcBorders>
            <w:shd w:fill="ed1b4c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d1b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(LE = 4)</w:t>
            </w:r>
          </w:p>
        </w:tc>
        <w:tc>
          <w:tcPr>
            <w:tcBorders>
              <w:top w:color="9bbb59" w:space="0" w:sz="8" w:val="single"/>
              <w:left w:color="000000" w:space="0" w:sz="0" w:val="nil"/>
              <w:bottom w:color="9bbb59" w:space="0" w:sz="8" w:val="single"/>
              <w:right w:color="9bbb59" w:space="0" w:sz="8" w:val="single"/>
            </w:tcBorders>
            <w:shd w:fill="ed1b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(LN = 3)</w:t>
            </w:r>
          </w:p>
        </w:tc>
        <w:tc>
          <w:tcPr>
            <w:tcBorders>
              <w:top w:color="9bbb59" w:space="0" w:sz="8" w:val="single"/>
              <w:left w:color="000000" w:space="0" w:sz="0" w:val="nil"/>
              <w:bottom w:color="9bbb59" w:space="0" w:sz="8" w:val="single"/>
              <w:right w:color="9bbb59" w:space="0" w:sz="8" w:val="single"/>
            </w:tcBorders>
            <w:shd w:fill="ed1b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(LS = 2)</w:t>
            </w:r>
          </w:p>
        </w:tc>
        <w:tc>
          <w:tcPr>
            <w:tcBorders>
              <w:top w:color="9bbb59" w:space="0" w:sz="8" w:val="single"/>
              <w:left w:color="000000" w:space="0" w:sz="0" w:val="nil"/>
              <w:bottom w:color="9bbb59" w:space="0" w:sz="8" w:val="single"/>
              <w:right w:color="9bbb59" w:space="0" w:sz="8" w:val="single"/>
            </w:tcBorders>
            <w:shd w:fill="ed1b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after="240"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(LI = 1)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1567223770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3.1 Fabricar objetos o modelos mediante la manipulación y conformación de materiales, empleando herramientas y máquinas adecuadas, aplicando los fundamentos de estructuras, mecanismos, electricidad y electrónica y respetando las normas de seguridad y salud correspondientes.</w:t>
                </w:r>
              </w:sdtContent>
            </w:sdt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sz w:val="20"/>
                <w:szCs w:val="20"/>
              </w:rPr>
            </w:pPr>
            <w:sdt>
              <w:sdtPr>
                <w:id w:val="-1462811183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Fabrica excepcionalmente objetos o modelos mediante la manipulación y conformación de materiales, empleando herramientas y máquinas adecuadas, aplicando los fundamentos de estructuras, mecanismos, electricidad y electrónica y respetando estrictamente las normas de seguridad y salud correspondientes.</w:t>
                </w:r>
              </w:sdtContent>
            </w:sdt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sz w:val="20"/>
                <w:szCs w:val="20"/>
              </w:rPr>
            </w:pPr>
            <w:sdt>
              <w:sdtPr>
                <w:id w:val="1309250837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Fabrica correctamente objetos o modelos mediante la manipulación y conformación de materiales, empleando herramientas y máquinas adecuadas, aplicando los fundamentos de estructuras, mecanismos, electricidad y electrónica y respetando las normas de seguridad y salud correspondientes.</w:t>
                </w:r>
              </w:sdtContent>
            </w:sdt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sz w:val="20"/>
                <w:szCs w:val="20"/>
              </w:rPr>
            </w:pPr>
            <w:sdt>
              <w:sdtPr>
                <w:id w:val="-546427708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Fabrica de forma básica objetos o modelos mediante la manipulación y conformación de materiales, empleando algunas herramientas y máquinas adecuadas, aplicando algunos de los fundamentos de estructuras, mecanismos, electricidad y electrónica y respetando mínimamente las normas de seguridad y salud correspondientes.</w:t>
                </w:r>
              </w:sdtContent>
            </w:sdt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sz w:val="20"/>
                <w:szCs w:val="20"/>
              </w:rPr>
            </w:pPr>
            <w:sdt>
              <w:sdtPr>
                <w:id w:val="-1492087788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Fabrica con dificultad objetos o modelos mediante la manipulación y conformación de materiales, sin emplear herramientas y máquinas adecuadas, sin aplicar los fundamentos de estructuras, mecanismos, electricidad y electrónica y no respetando las normas de seguridad y salud correspondientes.</w:t>
                </w:r>
              </w:sdtContent>
            </w:sdt>
          </w:p>
        </w:tc>
      </w:tr>
    </w:tbl>
    <w:p w:rsidR="00000000" w:rsidDel="00000000" w:rsidP="00000000" w:rsidRDefault="00000000" w:rsidRPr="00000000" w14:paraId="00000010">
      <w:pPr>
        <w:widowControl w:val="0"/>
        <w:spacing w:after="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17.0" w:type="dxa"/>
        <w:jc w:val="left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00"/>
      </w:tblPr>
      <w:tblGrid>
        <w:gridCol w:w="2879"/>
        <w:gridCol w:w="2650"/>
        <w:gridCol w:w="2693"/>
        <w:gridCol w:w="2977"/>
        <w:gridCol w:w="3118"/>
        <w:tblGridChange w:id="0">
          <w:tblGrid>
            <w:gridCol w:w="2879"/>
            <w:gridCol w:w="2650"/>
            <w:gridCol w:w="2693"/>
            <w:gridCol w:w="2977"/>
            <w:gridCol w:w="3118"/>
          </w:tblGrid>
        </w:tblGridChange>
      </w:tblGrid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1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5.1 Describir, interpretar y diseñar soluciones a problemas informáticos a través de algoritmos y diagramas de flujo, aplicando los elementos y técnicas de programación de manera creativa.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Describe, interpreta y diseña excelentemente soluciones a problemas informáticos a través de algoritmos y diagramas de flujo, aplicando siempre los elementos y técnicas de programación de manera creativa.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Describe, interpreta y diseña correctamente soluciones a problemas informáticos a través de algoritmos y diagramas de flujo, aplicando los elementos y técnicas de programación de manera creativa.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Describe, interpreta y diseña de manera suficiente soluciones a problemas informáticos a través de algoritmos y diagramas de flujo, aplicando parcialmente los elementos y técnicas de programación de manera creativa.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Describe, interpreta y diseña con mucha dificultad soluciones a problemas informáticos a través de algoritmos y diagramas de flujo y le cuesta aplicar los elementos y técnicas de programación de manera creativa.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5.2 Programar aplicaciones sencillas para distintos dispositivos (ordenadores, dispositivos móviles y otros) empleando los elementos de programación de manera apropiada y aplicando herramientas de edición, así como módulos de inteligencia artificial que añadan funcionalidades a la solución.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excelentemente aplicaciones sencillas para distintos dispositivos (ordenadores, dispositivos móviles y otros) empleando los elementos de programación de manera apropiada y aplicando siempre herramientas de edición, así como módulos de inteligencia artificial que añadan funcionalidades a la solución.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correctamente aplicaciones sencillas para distintos dispositivos (ordenadores, dispositivos móviles y otros) empleando los elementos de programación de manera apropiada y aplicando herramientas de edición, así como módulos de inteligencia artificial que añadan funcionalidades a la solución.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de forma suficiente aplicaciones sencillas para distintos dispositivos (ordenadores, dispositivos móviles y otros) empleando los elementos de programación de manera parcial y aplicando algunas herramientas de edición, así como algunos módulos de inteligencia artificial que añadan funcionalidades a la solución.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con mucha dificultad, aplicaciones sencillas para distintos dispositivos (ordenadores, dispositivos móviles y otros) sin emplear elementos de programación ni aplicando herramientas de edición o herramientas de inteligencia artificial.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1B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5.3 Automatizar procesos, máquinas y objetos de manera autónoma, con conexión a internet, mediante el análisis, construcción y programación de robots y sistemas de control.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Automatiza procesos, máquinas y objetos de manera excelente y autónoma y con conexión a internet, mediante el análisis, construcción y programación de robots y sistemas de control.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Automatiza procesos, máquinas y objetos de manera correcta y autónoma y con conexión a internet, mediante el análisis, construcción y programación de robots y sistemas de control.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Automatiza procesos, máquinas y objetos con autonomía parcial y con conexión a internet, mediante el análisis, construcción y programación de robots y sistemas de control.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Automatiza procesos, máquinas y objetos con mucha dificultad, sin utilizar correctamente el análisis, construcción y programación de robots y sistemas de control.</w:t>
            </w:r>
          </w:p>
        </w:tc>
      </w:tr>
    </w:tbl>
    <w:p w:rsidR="00000000" w:rsidDel="00000000" w:rsidP="00000000" w:rsidRDefault="00000000" w:rsidRPr="00000000" w14:paraId="00000020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17.0" w:type="dxa"/>
        <w:jc w:val="left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00"/>
      </w:tblPr>
      <w:tblGrid>
        <w:gridCol w:w="2879"/>
        <w:gridCol w:w="2650"/>
        <w:gridCol w:w="2693"/>
        <w:gridCol w:w="2977"/>
        <w:gridCol w:w="3118"/>
        <w:tblGridChange w:id="0">
          <w:tblGrid>
            <w:gridCol w:w="2879"/>
            <w:gridCol w:w="2650"/>
            <w:gridCol w:w="2693"/>
            <w:gridCol w:w="2977"/>
            <w:gridCol w:w="3118"/>
          </w:tblGrid>
        </w:tblGridChange>
      </w:tblGrid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2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6.1 Usar de manera eficiente y segura los dispositivos digitales de uso cotidiano en la resolución de problemas sencillos, analizando los componentes y los sistemas de comunicación, conociendo los riesgos y adoptando medidas de seguridad para la protección de datos y equipos.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de manera eficiente y segura los dispositivos digitales de uso cotidiano en la resolución de problemas sencillos, analizando de manera excepcional los componentes y los sistemas de comunicación, conociendo los riesgos y adoptando medidas de seguridad para la protección de datos y equipos.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de manera eficiente y segura los dispositivos digitales de uso cotidiano en la resolución de problemas sencillos, analizando correctamente los componentes y los sistemas de comunicación, conociendo los riesgos y adoptando medidas de seguridad para la protección de datos y equipos.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de manera parcialmente eficiente y segura los dispositivos digitales de uso cotidiano en la resolución de problemas sencillos, analizando en algunas ocasiones los componentes y los sistemas de comunicación, conociendo medianamente los riesgos y adoptando medidas de seguridad para la protección de datos y equipos.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cuesta mucho usar de manera eficiente y segura los dispositivos digitales de uso cotidiano en la resolución de problemas sencillos, sin analizar los componentes y los sistemas de comunicación, sin conocer los riesgos ni adoptando medidas de seguridad para la protección de datos y equipos.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-199025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6.2 Crear contenidos, elaborar materiales y difundirlos en distintas plataformas, configurando correctamente las herramientas digitales habituales del entorno de aprendizaje, ajustándolas a sus necesidades y respetando los derechos de autor y la etiqueta digital.</w:t>
                </w:r>
              </w:sdtContent>
            </w:sdt>
          </w:p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contenidos, elabora materiales y los difunde en distintas plataformas excelentemente, configurando correctamente las herramientas digitales habituales del entorno de aprendizaje, ajustándolas siempre a sus necesidades y respetando los derechos de autor y la etiqueta digital.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contenidos, elabora materiales y los difunde en distintas plataformas correctamente, configurando correctamente las herramientas digitales habituales del entorno de aprendizaje, ajustándolas a sus necesidades y respetando los derechos de autor y la etiqueta digital.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contenidos, elabora materiales y los difunde en distintas plataformas de manera básica, configurando las herramientas digitales habituales del entorno de aprendizaje, ajustándolas parcialmente a sus necesidades y respetando los derechos de autor y la etiqueta digital.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contenidos, elabora materiales y los difunde en distintas plataformas con mucha dificultad, sin configurar las herramientas digitales habituales del entorno de aprendizaje ni ajustarlas a sus necesidades, no respetando los derechos de autor y la etiqueta digital.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shd w:fill="ed1b4c" w:val="clear"/>
          </w:tcPr>
          <w:p w:rsidR="00000000" w:rsidDel="00000000" w:rsidP="00000000" w:rsidRDefault="00000000" w:rsidRPr="00000000" w14:paraId="0000002D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6.3 Organizar la información de manera estructurada, aplicando técnicas de almacenamiento seguro.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 la información de manera excelentemente estructurada, aplicando técnicas de almacenamiento seguro.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 la información de manera correctamente estructurada, aplicando técnicas de almacenamiento seguro.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 la información de forma medianamente adecuada, aplicando técnicas de almacenamiento seguro.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 la información de forma poco adecuada sin aplicar técnicas de almacenamiento seguro.</w:t>
            </w:r>
          </w:p>
        </w:tc>
      </w:tr>
    </w:tbl>
    <w:p w:rsidR="00000000" w:rsidDel="00000000" w:rsidP="00000000" w:rsidRDefault="00000000" w:rsidRPr="00000000" w14:paraId="00000032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21" w:left="1418" w:right="141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rial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Tecnología y Digitalización A. ESO. Rúbrica de evaluación.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6354</wp:posOffset>
          </wp:positionH>
          <wp:positionV relativeFrom="paragraph">
            <wp:posOffset>64135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15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6805930</wp:posOffset>
          </wp:positionH>
          <wp:positionV relativeFrom="paragraph">
            <wp:posOffset>33020</wp:posOffset>
          </wp:positionV>
          <wp:extent cx="2028190" cy="7708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0" w:before="0" w:line="240" w:lineRule="auto"/>
      <w:ind w:left="0" w:right="0" w:firstLine="0"/>
      <w:jc w:val="left"/>
      <w:rPr>
        <w:b w:val="1"/>
        <w:bCs w:val="1"/>
        <w:i w:val="0"/>
        <w:iCs w:val="0"/>
        <w:smallCaps w:val="0"/>
        <w:strike w:val="0"/>
        <w:color w:val="ed1b4c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ed1b4c"/>
        <w:sz w:val="44"/>
        <w:szCs w:val="44"/>
        <w:u w:val="none"/>
        <w:shd w:fill="auto" w:val="clear"/>
        <w:vertAlign w:val="baseline"/>
        <w:rtl w:val="0"/>
      </w:rPr>
      <w:t xml:space="preserve">Unidad </w:t>
    </w:r>
    <w:r w:rsidDel="00000000" w:rsidR="00000000" w:rsidRPr="00000000">
      <w:rPr>
        <w:b w:val="1"/>
        <w:bCs w:val="1"/>
        <w:color w:val="ed1b4c"/>
        <w:sz w:val="44"/>
        <w:szCs w:val="44"/>
        <w:rtl w:val="0"/>
      </w:rPr>
      <w:t xml:space="preserve">8</w:t>
    </w:r>
    <w:r w:rsidDel="00000000" w:rsidR="00000000" w:rsidRPr="00000000">
      <w:rPr>
        <w:b w:val="1"/>
        <w:bCs w:val="1"/>
        <w:i w:val="0"/>
        <w:iCs w:val="0"/>
        <w:smallCaps w:val="0"/>
        <w:strike w:val="0"/>
        <w:color w:val="ed1b4c"/>
        <w:sz w:val="44"/>
        <w:szCs w:val="44"/>
        <w:u w:val="none"/>
        <w:shd w:fill="auto" w:val="clear"/>
        <w:vertAlign w:val="baseline"/>
        <w:rtl w:val="0"/>
      </w:rPr>
      <w:t xml:space="preserve">. Rúbrica de Evaluación</w:t>
    </w:r>
  </w:p>
  <w:p w:rsidR="00000000" w:rsidDel="00000000" w:rsidP="00000000" w:rsidRDefault="00000000" w:rsidRPr="00000000" w14:paraId="00000038">
    <w:pPr>
      <w:tabs>
        <w:tab w:val="left" w:leader="none" w:pos="8494"/>
      </w:tabs>
      <w:rPr>
        <w:sz w:val="10"/>
        <w:szCs w:val="1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116900" y="3780000"/>
                        <a:ext cx="84582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-ES_tradnl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6"/>
      </w:numPr>
      <w:contextualSpacing w:val="1"/>
    </w:pPr>
  </w:style>
  <w:style w:type="paragraph" w:styleId="ListBullet2">
    <w:name w:val="List Bullet 2"/>
    <w:basedOn w:val="Normal"/>
    <w:rsid w:val="007D7616"/>
    <w:pPr>
      <w:numPr>
        <w:numId w:val="15"/>
      </w:numPr>
      <w:contextualSpacing w:val="1"/>
    </w:pPr>
  </w:style>
  <w:style w:type="paragraph" w:styleId="ListBullet5">
    <w:name w:val="List Bullet 5"/>
    <w:basedOn w:val="Normal"/>
    <w:rsid w:val="007D7616"/>
    <w:pPr>
      <w:numPr>
        <w:numId w:val="14"/>
      </w:numPr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GridTable3-Accent6">
    <w:name w:val="Grid Table 3 Accent 6"/>
    <w:basedOn w:val="TableNormal"/>
    <w:uiPriority w:val="48"/>
    <w:rsid w:val="00FE1596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6301DA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CommentTextChar" w:customStyle="1">
    <w:name w:val="Comment Text Char"/>
    <w:basedOn w:val="DefaultParagraphFont"/>
    <w:link w:val="CommentText"/>
    <w:rsid w:val="006301DA"/>
    <w:rPr>
      <w:rFonts w:ascii="Futura Std Book" w:cs="Futura Std Book" w:hAnsi="Futura Std Book"/>
      <w:sz w:val="24"/>
      <w:szCs w:val="24"/>
      <w:lang w:val="en-US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6301DA"/>
    <w:rPr>
      <w:rFonts w:ascii="Verdana" w:cs="Futura Std Book" w:hAnsi="Verdana"/>
      <w:b w:val="1"/>
      <w:bCs w:val="1"/>
      <w:sz w:val="24"/>
      <w:szCs w:val="24"/>
      <w:lang w:val="en-US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band2Horz">
      <w:tcPr/>
    </w:tblStylePr>
    <w:tblStylePr w:type="band2Vert">
      <w:tcPr/>
    </w:tblStylePr>
    <w:tblStylePr w:type="firstCol">
      <w:pPr>
        <w:jc w:val="right"/>
      </w:pPr>
      <w:rPr>
        <w:i w:val="1"/>
      </w:rPr>
      <w:tcPr>
        <w:shd w:fill="ffffff" w:val="clear"/>
      </w:tcPr>
    </w:tblStylePr>
    <w:tblStylePr w:type="firstRow">
      <w:rPr>
        <w:b w:val="1"/>
      </w:rPr>
      <w:tcPr>
        <w:shd w:fill="ffffff" w:val="clear"/>
      </w:tcPr>
    </w:tblStylePr>
    <w:tblStylePr w:type="lastCol">
      <w:rPr>
        <w:i w:val="1"/>
      </w:rPr>
      <w:tcPr>
        <w:shd w:fill="ffffff" w:val="clear"/>
      </w:tcPr>
    </w:tblStylePr>
    <w:tblStylePr w:type="lastRow">
      <w:rPr>
        <w:b w:val="1"/>
      </w:rPr>
      <w:tcPr>
        <w:shd w:fill="ffffff" w:val="clear"/>
      </w:tcPr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firstRow">
      <w:rPr>
        <w:b w:val="1"/>
      </w:r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i w:val="1"/>
      </w:r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bottom w:color="fac090" w:space="0" w:sz="4" w:val="single"/>
        </w:tcBorders>
      </w:tcPr>
    </w:tblStylePr>
    <w:tblStylePr w:type="nwCell">
      <w:tcPr>
        <w:tcBorders>
          <w:bottom w:color="fac090" w:space="0" w:sz="4" w:val="single"/>
        </w:tcBorders>
      </w:tcPr>
    </w:tblStylePr>
    <w:tblStylePr w:type="seCell">
      <w:tcPr>
        <w:tcBorders>
          <w:top w:color="fac090" w:space="0" w:sz="4" w:val="single"/>
        </w:tcBorders>
      </w:tcPr>
    </w:tblStylePr>
    <w:tblStylePr w:type="swCell">
      <w:tcPr>
        <w:tcBorders>
          <w:top w:color="fac090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</w:rPr>
      <w:tcPr>
        <w:shd w:fill="ffffff" w:val="clear"/>
      </w:tcPr>
    </w:tblStylePr>
    <w:tblStylePr w:type="firstRow">
      <w:rPr>
        <w:b w:val="1"/>
      </w:rPr>
      <w:tcPr>
        <w:shd w:fill="ffffff" w:val="clear"/>
      </w:tcPr>
    </w:tblStylePr>
    <w:tblStylePr w:type="lastCol">
      <w:rPr>
        <w:i w:val="1"/>
      </w:rPr>
      <w:tcPr>
        <w:shd w:fill="ffffff" w:val="clear"/>
      </w:tcPr>
    </w:tblStylePr>
    <w:tblStylePr w:type="lastRow">
      <w:rPr>
        <w:b w:val="1"/>
      </w:rPr>
      <w:tcPr>
        <w:shd w:fill="ffffff" w:val="clear"/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</w:rPr>
      <w:tcPr>
        <w:shd w:fill="ffffff" w:val="clear"/>
      </w:tcPr>
    </w:tblStylePr>
    <w:tblStylePr w:type="firstRow">
      <w:rPr>
        <w:b w:val="1"/>
      </w:rPr>
      <w:tcPr>
        <w:shd w:fill="ffffff" w:val="clear"/>
      </w:tcPr>
    </w:tblStylePr>
    <w:tblStylePr w:type="lastCol">
      <w:rPr>
        <w:i w:val="1"/>
      </w:rPr>
      <w:tcPr>
        <w:shd w:fill="ffffff" w:val="clear"/>
      </w:tcPr>
    </w:tblStylePr>
    <w:tblStylePr w:type="lastRow">
      <w:rPr>
        <w:b w:val="1"/>
      </w:rPr>
      <w:tcPr>
        <w:shd w:fill="ffffff" w:val="clear"/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</w:rPr>
      <w:tcPr>
        <w:shd w:fill="ffffff" w:val="clear"/>
      </w:tcPr>
    </w:tblStylePr>
    <w:tblStylePr w:type="firstRow">
      <w:rPr>
        <w:b w:val="1"/>
      </w:rPr>
      <w:tcPr>
        <w:shd w:fill="ffffff" w:val="clear"/>
      </w:tcPr>
    </w:tblStylePr>
    <w:tblStylePr w:type="lastCol">
      <w:rPr>
        <w:i w:val="1"/>
      </w:rPr>
      <w:tcPr>
        <w:shd w:fill="ffffff" w:val="clear"/>
      </w:tcPr>
    </w:tblStylePr>
    <w:tblStylePr w:type="lastRow">
      <w:rPr>
        <w:b w:val="1"/>
      </w:rPr>
      <w:tcPr>
        <w:shd w:fill="ffffff" w:val="clear"/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  <w:iCs w:val="1"/>
      </w:rPr>
      <w:tcPr>
        <w:shd w:fill="ffffff" w:val="clear"/>
      </w:tcPr>
    </w:tblStylePr>
    <w:tblStylePr w:type="firstRow">
      <w:rPr>
        <w:b w:val="1"/>
        <w:bCs w:val="1"/>
      </w:rPr>
      <w:tcPr>
        <w:shd w:fill="ffffff" w:val="clear"/>
      </w:tcPr>
    </w:tblStylePr>
    <w:tblStylePr w:type="lastCol">
      <w:rPr>
        <w:i w:val="1"/>
        <w:iCs w:val="1"/>
      </w:rPr>
      <w:tcPr>
        <w:shd w:fill="ffffff" w:val="clear"/>
      </w:tcPr>
    </w:tblStylePr>
    <w:tblStylePr w:type="lastRow">
      <w:rPr>
        <w:b w:val="1"/>
        <w:bCs w:val="1"/>
      </w:rPr>
      <w:tcPr>
        <w:shd w:fill="ffffff" w:val="clear"/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  <w:iCs w:val="1"/>
      </w:rPr>
      <w:tcPr>
        <w:shd w:fill="ffffff" w:val="clear"/>
      </w:tcPr>
    </w:tblStylePr>
    <w:tblStylePr w:type="firstRow">
      <w:rPr>
        <w:b w:val="1"/>
        <w:bCs w:val="1"/>
      </w:rPr>
      <w:tcPr>
        <w:shd w:fill="ffffff" w:val="clear"/>
      </w:tcPr>
    </w:tblStylePr>
    <w:tblStylePr w:type="lastCol">
      <w:rPr>
        <w:i w:val="1"/>
        <w:iCs w:val="1"/>
      </w:rPr>
      <w:tcPr>
        <w:shd w:fill="ffffff" w:val="clear"/>
      </w:tcPr>
    </w:tblStylePr>
    <w:tblStylePr w:type="lastRow">
      <w:rPr>
        <w:b w:val="1"/>
        <w:bCs w:val="1"/>
      </w:rPr>
      <w:tcPr>
        <w:shd w:fill="ffffff" w:val="clear"/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pPr>
        <w:jc w:val="right"/>
      </w:pPr>
      <w:rPr>
        <w:i w:val="1"/>
        <w:iCs w:val="1"/>
      </w:rPr>
      <w:tcPr>
        <w:shd w:fill="ffffff" w:val="clear"/>
      </w:tcPr>
    </w:tblStylePr>
    <w:tblStylePr w:type="firstRow">
      <w:rPr>
        <w:b w:val="1"/>
        <w:bCs w:val="1"/>
      </w:rPr>
      <w:tcPr>
        <w:shd w:fill="ffffff" w:val="clear"/>
      </w:tcPr>
    </w:tblStylePr>
    <w:tblStylePr w:type="lastCol">
      <w:rPr>
        <w:i w:val="1"/>
        <w:iCs w:val="1"/>
      </w:rPr>
      <w:tcPr>
        <w:shd w:fill="ffffff" w:val="clear"/>
      </w:tcPr>
    </w:tblStylePr>
    <w:tblStylePr w:type="lastRow">
      <w:rPr>
        <w:b w:val="1"/>
        <w:bCs w:val="1"/>
      </w:rPr>
      <w:tcPr>
        <w:shd w:fill="ffffff" w:val="clear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66hita7sztuQpLA82epAUzuFA==">CgMxLjAaEgoBMBINCgsIB0IHEgVBcmlhbBoSCgExEg0KCwgHQgcSBUFyaWFsGhIKATISDQoLCAdCBxIFQXJpYWwaEgoBMxINCgsIB0IHEgVBcmlhbBoSCgE0Eg0KCwgHQgcSBUFyaWFsGhIKATUSDQoLCAdCBxIFQXJpYWw4AHIhMWFwMUFEM2Nhc1VodklIV2ZjNGlONUJMY2o0bUhzY2R5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A977D08-0F32-494D-8EFC-F3F9CD1999E7}"/>
</file>

<file path=customXML/itemProps3.xml><?xml version="1.0" encoding="utf-8"?>
<ds:datastoreItem xmlns:ds="http://schemas.openxmlformats.org/officeDocument/2006/customXml" ds:itemID="{97FCA0DE-4B58-4250-A1B7-0A74A1FEE933}"/>
</file>

<file path=customXML/itemProps4.xml><?xml version="1.0" encoding="utf-8"?>
<ds:datastoreItem xmlns:ds="http://schemas.openxmlformats.org/officeDocument/2006/customXml" ds:itemID="{10C0BEBE-BB07-4045-A3B1-3E966DD7A3B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2022-07-09T17:01:00Z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