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0"/>
        </w:tabs>
        <w:spacing w:after="120" w:before="36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000"/>
      </w:tblPr>
      <w:tblGrid>
        <w:gridCol w:w="7503"/>
        <w:gridCol w:w="7005"/>
        <w:tblGridChange w:id="0">
          <w:tblGrid>
            <w:gridCol w:w="7503"/>
            <w:gridCol w:w="7005"/>
          </w:tblGrid>
        </w:tblGridChange>
      </w:tblGrid>
      <w:tr>
        <w:trPr>
          <w:cantSplit w:val="0"/>
          <w:trHeight w:val="172" w:hRule="atLeast"/>
          <w:tblHeader w:val="0"/>
        </w:trPr>
        <w:tc>
          <w:tcPr>
            <w:gridSpan w:val="2"/>
            <w:tcBorders>
              <w:top w:color="4472c4" w:space="0" w:sz="8" w:val="single"/>
              <w:left w:color="4472c4" w:space="0" w:sz="8" w:val="single"/>
              <w:bottom w:color="4472c4" w:space="0" w:sz="18" w:val="single"/>
              <w:right w:color="4472c4" w:space="0" w:sz="8" w:val="single"/>
            </w:tcBorders>
            <w:shd w:fill="059ddc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UNIDAD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top w:color="4472c4" w:space="0" w:sz="18" w:val="single"/>
              <w:left w:color="4472c4" w:space="0" w:sz="8" w:val="single"/>
              <w:bottom w:color="4472c4" w:space="0" w:sz="18" w:val="single"/>
              <w:right w:color="4472c4" w:space="0" w:sz="8" w:val="single"/>
            </w:tcBorders>
            <w:shd w:fill="059ddc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72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72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 NÚMEROS NATURALES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72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4472c4" w:space="0" w:sz="18" w:val="single"/>
              <w:left w:color="4472c4" w:space="0" w:sz="8" w:val="single"/>
              <w:bottom w:color="4472c4" w:space="0" w:sz="4" w:val="single"/>
              <w:right w:color="800000" w:space="0" w:sz="8" w:val="single"/>
            </w:tcBorders>
            <w:shd w:fill="059ddc" w:val="clear"/>
            <w:vAlign w:val="center"/>
          </w:tcPr>
          <w:bookmarkStart w:colFirst="0" w:colLast="0" w:name="bookmark=id.808dwrglw977" w:id="0"/>
          <w:bookmarkEnd w:id="0"/>
          <w:p w:rsidR="00000000" w:rsidDel="00000000" w:rsidP="00000000" w:rsidRDefault="00000000" w:rsidRPr="00000000" w14:paraId="00000008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OBJETIVOS DE UNIDAD</w:t>
            </w:r>
          </w:p>
        </w:tc>
        <w:tc>
          <w:tcPr>
            <w:tcBorders>
              <w:top w:color="4472c4" w:space="0" w:sz="18" w:val="single"/>
              <w:left w:color="800000" w:space="0" w:sz="8" w:val="single"/>
              <w:bottom w:color="4472c4" w:space="0" w:sz="4" w:val="single"/>
              <w:right w:color="4472c4" w:space="0" w:sz="8" w:val="single"/>
            </w:tcBorders>
            <w:shd w:fill="059ddc" w:val="clear"/>
            <w:vAlign w:val="center"/>
          </w:tcPr>
          <w:p w:rsidR="00000000" w:rsidDel="00000000" w:rsidP="00000000" w:rsidRDefault="00000000" w:rsidRPr="00000000" w14:paraId="00000009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COMPETENCIAS CLAVE (CCC) DE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top w:color="4472c4" w:space="0" w:sz="4" w:val="single"/>
              <w:left w:color="4472c4" w:space="0" w:sz="8" w:val="single"/>
              <w:bottom w:color="059ddc" w:space="0" w:sz="18" w:val="single"/>
              <w:right w:color="4472c4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735"/>
                <w:tab w:val="left" w:leader="none" w:pos="1276"/>
              </w:tabs>
              <w:spacing w:after="60" w:before="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592" w:right="17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Construir la serie de números naturales utilizando el sistema decimal.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592" w:right="17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Reconocer los números naturales y recordar las operaciones de suma, multiplicación, resta y división desarrollando estrategias para el cálculo mental.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592" w:right="17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Aprender a utilizar la calculadora y las aplicaciones TIC para comprobar los resultados obtenidos por otros medios.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592" w:right="17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Comprender los conceptos de múltiplo y divisor, implementando diferentes métodos para su cálculo.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592" w:right="17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Conocer el concepto de primalidad y su importancia en la construcción y clasificación de los números naturales.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592" w:right="17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Calcular y entender el mínimo común múltiplo y el máximo común divisor.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592" w:right="17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Valorar y conocer el papel del número 1 dentro de la teoría de la divisibilidad de los números naturales.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"/>
                <w:tab w:val="left" w:leader="none" w:pos="735"/>
              </w:tabs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059ddc" w:space="0" w:sz="18" w:val="single"/>
              <w:right w:color="4472c4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before="120" w:line="259" w:lineRule="auto"/>
              <w:ind w:left="714" w:right="242" w:hanging="357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Competencia en comunicación lingüística. (CCL)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before="120" w:line="259" w:lineRule="auto"/>
              <w:ind w:left="714" w:right="242" w:hanging="357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Competencia plurilingüe. (CP)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before="120" w:line="259" w:lineRule="auto"/>
              <w:ind w:left="714" w:right="242" w:hanging="357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Competencia matemática y competencia en ciencia, tecnología e ingeniería (STEM). 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before="120" w:line="259" w:lineRule="auto"/>
              <w:ind w:left="714" w:right="242" w:hanging="357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Competencia digital. (CD)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before="120" w:line="259" w:lineRule="auto"/>
              <w:ind w:left="714" w:right="242" w:hanging="357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Competencia personal, social y de aprender a aprender. (CPSAA)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before="120" w:line="259" w:lineRule="auto"/>
              <w:ind w:left="714" w:right="242" w:hanging="357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Competencia ciudadana. (CC)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before="120" w:line="259" w:lineRule="auto"/>
              <w:ind w:left="714" w:right="242" w:hanging="357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Competencia emprendedora. (CE)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before="120" w:line="259" w:lineRule="auto"/>
              <w:ind w:left="714" w:right="242" w:hanging="357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Competencia en conciencia y expresión culturales. (CCEC)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  <w:tcBorders>
              <w:top w:color="059ddc" w:space="0" w:sz="18" w:val="single"/>
              <w:left w:color="059ddc" w:space="0" w:sz="8" w:val="single"/>
              <w:bottom w:color="059ddc" w:space="0" w:sz="4" w:val="single"/>
              <w:right w:color="059ddc" w:space="0" w:sz="8" w:val="single"/>
            </w:tcBorders>
            <w:shd w:fill="059ddc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720" w:right="0" w:firstLine="0"/>
              <w:jc w:val="center"/>
              <w:rPr>
                <w:rFonts w:ascii="Arial" w:cs="Arial" w:eastAsia="Arial" w:hAnsi="Arial"/>
                <w:b w:val="1"/>
                <w:bCs w:val="1"/>
                <w:color w:val="4472c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TEMPORALIZACIÓN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72c4"/>
                <w:rtl w:val="0"/>
              </w:rPr>
              <w:t xml:space="preserve">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  <w:tcBorders>
              <w:top w:color="059ddc" w:space="0" w:sz="4" w:val="single"/>
              <w:left w:color="4472c4" w:space="0" w:sz="8" w:val="single"/>
              <w:bottom w:color="4472c4" w:space="0" w:sz="4" w:val="single"/>
              <w:right w:color="4472c4" w:space="0" w:sz="8" w:val="single"/>
            </w:tcBorders>
          </w:tcPr>
          <w:p w:rsidR="00000000" w:rsidDel="00000000" w:rsidP="00000000" w:rsidRDefault="00000000" w:rsidRPr="00000000" w14:paraId="00000021">
            <w:pPr>
              <w:spacing w:after="20" w:before="2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sesiones lectivas</w:t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56.0" w:type="dxa"/>
        <w:jc w:val="left"/>
        <w:tblInd w:w="-1026.0" w:type="dxa"/>
        <w:tblBorders>
          <w:top w:color="385623" w:space="0" w:sz="8" w:val="single"/>
          <w:left w:color="385623" w:space="0" w:sz="8" w:val="single"/>
          <w:bottom w:color="385623" w:space="0" w:sz="8" w:val="single"/>
          <w:right w:color="385623" w:space="0" w:sz="8" w:val="single"/>
          <w:insideH w:color="385623" w:space="0" w:sz="8" w:val="single"/>
          <w:insideV w:color="385623" w:space="0" w:sz="8" w:val="single"/>
        </w:tblBorders>
        <w:tblLayout w:type="fixed"/>
        <w:tblLook w:val="0000"/>
      </w:tblPr>
      <w:tblGrid>
        <w:gridCol w:w="3284"/>
        <w:gridCol w:w="2410"/>
        <w:gridCol w:w="2869"/>
        <w:gridCol w:w="1111"/>
        <w:gridCol w:w="1974"/>
        <w:gridCol w:w="3674"/>
        <w:gridCol w:w="34"/>
        <w:tblGridChange w:id="0">
          <w:tblGrid>
            <w:gridCol w:w="3284"/>
            <w:gridCol w:w="2410"/>
            <w:gridCol w:w="2869"/>
            <w:gridCol w:w="1111"/>
            <w:gridCol w:w="1974"/>
            <w:gridCol w:w="3674"/>
            <w:gridCol w:w="3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7"/>
            <w:shd w:fill="059ddc" w:val="clea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UNIDAD 1. LOS NÚMEROS NATURALES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059ddc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Saberes básicos</w:t>
            </w:r>
          </w:p>
        </w:tc>
        <w:tc>
          <w:tcPr>
            <w:shd w:fill="059ddc" w:val="clear"/>
            <w:vAlign w:val="center"/>
          </w:tcPr>
          <w:p w:rsidR="00000000" w:rsidDel="00000000" w:rsidP="00000000" w:rsidRDefault="00000000" w:rsidRPr="00000000" w14:paraId="0000002E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Competencias específicas</w:t>
            </w:r>
          </w:p>
        </w:tc>
        <w:tc>
          <w:tcPr>
            <w:shd w:fill="059ddc" w:val="clear"/>
            <w:vAlign w:val="center"/>
          </w:tcPr>
          <w:p w:rsidR="00000000" w:rsidDel="00000000" w:rsidP="00000000" w:rsidRDefault="00000000" w:rsidRPr="00000000" w14:paraId="0000002F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Criterios de evaluación</w:t>
            </w:r>
          </w:p>
        </w:tc>
        <w:tc>
          <w:tcPr>
            <w:shd w:fill="059ddc" w:val="clear"/>
            <w:vAlign w:val="center"/>
          </w:tcPr>
          <w:p w:rsidR="00000000" w:rsidDel="00000000" w:rsidP="00000000" w:rsidRDefault="00000000" w:rsidRPr="00000000" w14:paraId="00000030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Descriptores de perfil de salida</w:t>
            </w:r>
          </w:p>
        </w:tc>
        <w:tc>
          <w:tcPr>
            <w:shd w:fill="059ddc" w:val="clear"/>
            <w:vAlign w:val="center"/>
          </w:tcPr>
          <w:p w:rsidR="00000000" w:rsidDel="00000000" w:rsidP="00000000" w:rsidRDefault="00000000" w:rsidRPr="00000000" w14:paraId="00000031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Relación con los epígrafes de la unidad McGraw-Hill</w:t>
            </w:r>
          </w:p>
        </w:tc>
        <w:tc>
          <w:tcPr>
            <w:shd w:fill="059ddc" w:val="clear"/>
            <w:vAlign w:val="center"/>
          </w:tcPr>
          <w:p w:rsidR="00000000" w:rsidDel="00000000" w:rsidP="00000000" w:rsidRDefault="00000000" w:rsidRPr="00000000" w14:paraId="00000032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Actividades de la unidad en relación a los descriptores de perfil de salida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A. Sentido numérico. </w:t>
            </w:r>
          </w:p>
          <w:p w:rsidR="00000000" w:rsidDel="00000000" w:rsidP="00000000" w:rsidRDefault="00000000" w:rsidRPr="00000000" w14:paraId="00000035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" w:before="2" w:lineRule="auto"/>
              <w:ind w:left="195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 Sentido de las operaciones. </w:t>
            </w:r>
          </w:p>
          <w:p w:rsidR="00000000" w:rsidDel="00000000" w:rsidP="00000000" w:rsidRDefault="00000000" w:rsidRPr="00000000" w14:paraId="00000038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-197487156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Estrategias de cálculo mental con números naturales, fracciones y decimales. </w:t>
                </w:r>
              </w:sdtContent>
            </w:sdt>
          </w:p>
          <w:p w:rsidR="00000000" w:rsidDel="00000000" w:rsidP="00000000" w:rsidRDefault="00000000" w:rsidRPr="00000000" w14:paraId="00000039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-105392912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Propiedades de las operaciones (suma, resta, multiplicación, división y potenciación): cálculos de manera eficiente con números naturales, enteros, fraccionarios y decimales tanto mentalmente como de forma manual, con calculadora u hoja de cálculo. </w:t>
                </w:r>
              </w:sdtContent>
            </w:sdt>
          </w:p>
          <w:p w:rsidR="00000000" w:rsidDel="00000000" w:rsidP="00000000" w:rsidRDefault="00000000" w:rsidRPr="00000000" w14:paraId="0000003A">
            <w:pPr>
              <w:spacing w:after="2" w:before="2" w:lineRule="auto"/>
              <w:ind w:left="195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" w:before="2" w:lineRule="auto"/>
              <w:ind w:left="195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 Relaciones. </w:t>
            </w:r>
          </w:p>
          <w:p w:rsidR="00000000" w:rsidDel="00000000" w:rsidP="00000000" w:rsidRDefault="00000000" w:rsidRPr="00000000" w14:paraId="0000003C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-88203158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Factores, múltiplos y divisores. Factorización en números primos para resolver problemas: estrategias y herramientas. </w:t>
                </w:r>
              </w:sdtContent>
            </w:sdt>
          </w:p>
          <w:p w:rsidR="00000000" w:rsidDel="00000000" w:rsidP="00000000" w:rsidRDefault="00000000" w:rsidRPr="00000000" w14:paraId="0000003D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186396343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Patrones y regularidades numéricas. </w:t>
                </w:r>
              </w:sdtContent>
            </w:sdt>
          </w:p>
          <w:p w:rsidR="00000000" w:rsidDel="00000000" w:rsidP="00000000" w:rsidRDefault="00000000" w:rsidRPr="00000000" w14:paraId="0000003E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" w:before="2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F. Sentido socioafectivo. </w:t>
            </w:r>
          </w:p>
          <w:p w:rsidR="00000000" w:rsidDel="00000000" w:rsidP="00000000" w:rsidRDefault="00000000" w:rsidRPr="00000000" w14:paraId="0000004D">
            <w:pPr>
              <w:spacing w:after="2" w:before="2" w:lineRule="auto"/>
              <w:ind w:left="195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" w:before="2" w:lineRule="auto"/>
              <w:ind w:left="195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 Creencias, actitudes y emociones. </w:t>
            </w:r>
          </w:p>
          <w:p w:rsidR="00000000" w:rsidDel="00000000" w:rsidP="00000000" w:rsidRDefault="00000000" w:rsidRPr="00000000" w14:paraId="0000004F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59450106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Gestión emocional: emociones que intervienen en el aprendizaje de las matemáticas. Autoconciencia y autorregulación. </w:t>
                </w:r>
              </w:sdtContent>
            </w:sdt>
          </w:p>
          <w:p w:rsidR="00000000" w:rsidDel="00000000" w:rsidP="00000000" w:rsidRDefault="00000000" w:rsidRPr="00000000" w14:paraId="00000050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79061735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Estrategias de fomento de la curiosidad, la iniciativa, la perseverancia y la resiliencia en el aprendizaje de las matemáticas. </w:t>
                </w:r>
              </w:sdtContent>
            </w:sdt>
          </w:p>
          <w:p w:rsidR="00000000" w:rsidDel="00000000" w:rsidP="00000000" w:rsidRDefault="00000000" w:rsidRPr="00000000" w14:paraId="00000051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56335360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Estrategias de fomento de la flexibilidad cognitiva: apertura a cambios de estrategia y transformación del error en oportunidad de aprendizaje. </w:t>
                </w:r>
              </w:sdtContent>
            </w:sdt>
          </w:p>
          <w:p w:rsidR="00000000" w:rsidDel="00000000" w:rsidP="00000000" w:rsidRDefault="00000000" w:rsidRPr="00000000" w14:paraId="00000052">
            <w:pPr>
              <w:spacing w:after="2" w:before="2" w:lineRule="auto"/>
              <w:ind w:left="195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" w:before="2" w:lineRule="auto"/>
              <w:ind w:left="195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 Trabajo en equipo y toma de decisiones. </w:t>
            </w:r>
          </w:p>
          <w:p w:rsidR="00000000" w:rsidDel="00000000" w:rsidP="00000000" w:rsidRDefault="00000000" w:rsidRPr="00000000" w14:paraId="00000054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153331154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Técnicas cooperativas para optimizar el trabajo en equipo y compartir y construir conocimiento matemático. </w:t>
                </w:r>
              </w:sdtContent>
            </w:sdt>
          </w:p>
          <w:p w:rsidR="00000000" w:rsidDel="00000000" w:rsidP="00000000" w:rsidRDefault="00000000" w:rsidRPr="00000000" w14:paraId="00000055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150232644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Conductas empáticas y estrategias de gestión de conflictos. </w:t>
                </w:r>
              </w:sdtContent>
            </w:sdt>
          </w:p>
          <w:p w:rsidR="00000000" w:rsidDel="00000000" w:rsidP="00000000" w:rsidRDefault="00000000" w:rsidRPr="00000000" w14:paraId="00000056">
            <w:pPr>
              <w:spacing w:after="2" w:before="2" w:lineRule="auto"/>
              <w:ind w:left="195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" w:before="2" w:lineRule="auto"/>
              <w:ind w:left="195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 Inclusión, respeto y diversidad. </w:t>
            </w:r>
          </w:p>
          <w:p w:rsidR="00000000" w:rsidDel="00000000" w:rsidP="00000000" w:rsidRDefault="00000000" w:rsidRPr="00000000" w14:paraId="00000058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100997442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Actitudes inclusivas y aceptación de la diversidad presente en el aula y en la sociedad. </w:t>
                </w:r>
              </w:sdtContent>
            </w:sdt>
          </w:p>
          <w:p w:rsidR="00000000" w:rsidDel="00000000" w:rsidP="00000000" w:rsidRDefault="00000000" w:rsidRPr="00000000" w14:paraId="00000059">
            <w:pPr>
              <w:spacing w:after="2" w:before="2" w:lineRule="auto"/>
              <w:ind w:left="337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128490980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La contribución de las matemáticas al desarrollo de los distintos ámbitos del conocimiento humano desde una perspectiva de género. </w:t>
                </w:r>
              </w:sdtContent>
            </w:sdt>
          </w:p>
          <w:p w:rsidR="00000000" w:rsidDel="00000000" w:rsidP="00000000" w:rsidRDefault="00000000" w:rsidRPr="00000000" w14:paraId="0000005A">
            <w:pPr>
              <w:spacing w:after="2" w:before="2" w:lineRule="auto"/>
              <w:ind w:left="195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337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9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Resolución de problemas: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Competencia específica 1: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Interpretar, modelizar, resolver problemas de la vida cotidiana y propios de las matemáticas, aplicando diferentes estrategias y formas de razonamiento, para explorar distintas maneras de proceder y obtener posibles soluciones.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Análisis de soluciones: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Competencia específica 2: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Analizar las soluciones de un problema usando diferentes técnicas y herramientas, evaluando las respuestas obtenidas, para verificar su validez e idoneidad desde un punto de vista matemático y su repercusión global.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Conexiones: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Competencia específica 6: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Identificar las matemáticas implicadas en otras materias y en situaciones reales susceptibles de ser abordadas en términos matemáticos, interrelacionando conceptos y procedimientos, para aplicarlos en situaciones diversas.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Comunicación y representación: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Competencia específica 8: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Comunicar de forma individual y colectiva conceptos,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procedimientos 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argumentos matemáticos, usando lenguaje oral, escrito o gráfico, utilizando la terminología matemática apropiada, para dar significado y coherencia a las ideas matemáticas.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Destreza Socioafectiva: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Competencia específica 9: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Desarrollar destrezas personales, identificando y gestionando emociones, poniendo en práctica estrategias de aceptación del error como parte del proceso de aprendizaje y adaptándose ante situaciones de incertidumbre, para mejorar la perseverancia en la consecuc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ón de objetivos y el disfrute en el aprendizaje de las matemáticas.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Competencia específica 10: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Desarrollar destrezas sociales reconociendo y respetando las emociones y exigencias de los demás, participando activa y reflexivamente en proyectos en equipos heterogéneos con roles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asignados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para construir una identidad positiva como estudiante de matemáticas, fomentar el bienestar personal y grupal y crear relaciones saludables.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 Interpretar problemas matemáticos organizando los datos, estableciendo las relaciones entre ellos y comprendiendo las preguntas formuladas.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 Aplicar herramientas y estrategias apropiadas que contribuyan a la resolución de problemas.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1.3 Obtener soluciones matemáticas de un problema, activando los conocimientos y utilizando las herramientas tecnológicas necesarias.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 Comprobar la corrección matemática de las soluciones de un problema.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 Comprobar la validez de las soluciones de un problema y su coherencia en el contexto planteado, evaluando el alcance y repercusión de estas desde diferentes perspectivas (de género, de sostenibilidad, de consumo responsable, etc.).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6.1 Reconocer situaciones susceptibles de ser formuladas y resueltas mediante herramientas y estrategias matemáticas, estableciendo conexiones entre el mundo real y las matemáticas y usando los procesos inherentes a la investigación: inferir, medir, comunicar, clasificar y predecir.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6.2 Identificar conexiones coherentes entre las matemáticas y otras materias resolviendo problemas contextualizados.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6.3 Reconocer la aportación de las matemáticas al progreso de la humanidad y su contribución a la superación de los retos que demanda la sociedad actual.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 Comunicar información utilizando el lenguaje matemático apropiado, utilizando diferentes medios, incluidos los digitales, oralmente y por escrito, al describir, explicar y justificar razonamientos, procedimientos y conclusiones.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8.2 Reconocer y emplear el lenguaje matemático presente en la vida cotidiana comunicando mensajes con contenido matemático con precisión y rigor.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9.1 Identificar y gestionar las emociones propias y desarrollar el autoconcepto matemático generando expectativas positivas ante nuevos retos matemáticos.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 Mostrar una actitud positiva y perseverante al hacer frente a las diferentes situaciones de aprendizaje de las matemáticas aceptando la crítica razonada.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10.1 Colaborar activamente y construir relaciones trabajando con las matemáticas en equipos heterogéneos, respetando diferentes opiniones, comunicándose de manera efectiva, pensando de forma crítica y creativa, tomando decisiones y realizando juicios informados.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10.2 Gestionar el reparto de tareas en el trabajo en equipo, aportando valor, favoreciendo la inclusión, la escucha activa, responsabilizándose del rol asignado y de la propia contribución al equipo.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CCL2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STEM1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STEM2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STEM3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STEM4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STEM5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CD1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CPSAA1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CPSAA3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CPSAA4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CPSAA5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CC1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CC3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CE1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CE3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CCEC3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CCEC4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 Los números naturales.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Operaciones con números naturales.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 Divisores y múltiplos.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 Los números primos.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escomposición en factores primos.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Criterios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de divisibilidad.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 El mínimo común múltiplo.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 El máximo común divisor.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 El número 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Actividades:</w:t>
            </w:r>
          </w:p>
          <w:p w:rsidR="00000000" w:rsidDel="00000000" w:rsidP="00000000" w:rsidRDefault="00000000" w:rsidRPr="00000000" w14:paraId="000000D2">
            <w:pPr>
              <w:spacing w:after="2" w:before="2" w:lineRule="auto"/>
              <w:ind w:left="0" w:right="131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1,2,3,4,5,7,9,11,12,14,15,16: CCL2, CCL3, STEM1, STEM5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31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6,8,10,13: CD1, CD2, STEM1, STEM2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3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240" w:before="24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 proponemos un reto: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Página 19: CCL1, CCL2, CCL3, CCL5, STEM1, STEM2, STEM3, STEM4, STEM5, CPSAA1, CPSAA3, CPSAA4, CPSAA5, CE1, CE3, CCEC3, CCEC4</w:t>
            </w:r>
          </w:p>
          <w:p w:rsidR="00000000" w:rsidDel="00000000" w:rsidP="00000000" w:rsidRDefault="00000000" w:rsidRPr="00000000" w14:paraId="000000D6">
            <w:pPr>
              <w:spacing w:after="240" w:before="24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finales: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1, 2, 3, 4, 5, 6, 9, 10, 11, 12, 13, 14, 15, 20, 21, 22, 23, 24, 25, 26, 27, 28, 29, 30, 31, 32, 33, 34, 35, 36, 40, 41, 42, 43, 44, 45, 46, 47, 48, 49, 50: CCL2, CCL3, STEM1, STEM5</w:t>
            </w:r>
          </w:p>
          <w:p w:rsidR="00000000" w:rsidDel="00000000" w:rsidP="00000000" w:rsidRDefault="00000000" w:rsidRPr="00000000" w14:paraId="000000D7">
            <w:pPr>
              <w:spacing w:after="240" w:before="24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7, 8, 16, 17, 18, 19, 37, 38, 39: CD1, CD2, STEM1, STEM2</w:t>
            </w:r>
          </w:p>
          <w:p w:rsidR="00000000" w:rsidDel="00000000" w:rsidP="00000000" w:rsidRDefault="00000000" w:rsidRPr="00000000" w14:paraId="000000D8">
            <w:pPr>
              <w:spacing w:after="240" w:before="24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51, 52, 53, 54, 55: CCL1, CCL2, STEM1, STEM2, STEM3, STEM4, CC1, CC3, CCEC3</w:t>
            </w:r>
          </w:p>
          <w:p w:rsidR="00000000" w:rsidDel="00000000" w:rsidP="00000000" w:rsidRDefault="00000000" w:rsidRPr="00000000" w14:paraId="000000D9">
            <w:pPr>
              <w:spacing w:after="240" w:before="24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Comprende y resuelve: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Página 24: CCL1, CCL2, CCL3, CCL5, STEM1, STEM2, STEM3, STEM4, STEM5, CPSAA1, CPSAA3, CPSAA4, CPSAA5</w:t>
            </w:r>
          </w:p>
          <w:p w:rsidR="00000000" w:rsidDel="00000000" w:rsidP="00000000" w:rsidRDefault="00000000" w:rsidRPr="00000000" w14:paraId="000000DA">
            <w:pPr>
              <w:spacing w:after="240" w:before="24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Atrévete: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Página 25: CCL1, CCL2, CCL3, CCL5, STEM1, STEM2, STEM3, STEM4, STEM5, CPSAA1, CPSAA3, CPSAA4, CPSAA5, CE1, CE3, CCEC3, CCEC4</w:t>
            </w:r>
          </w:p>
          <w:p w:rsidR="00000000" w:rsidDel="00000000" w:rsidP="00000000" w:rsidRDefault="00000000" w:rsidRPr="00000000" w14:paraId="000000DB">
            <w:pPr>
              <w:spacing w:after="240" w:before="24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31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6" w:top="730" w:left="1701" w:right="1699" w:header="0" w:footer="2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Verdana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Ras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tabs>
        <w:tab w:val="right" w:leader="none" w:pos="10065"/>
      </w:tabs>
      <w:rPr>
        <w:rFonts w:ascii="Times" w:cs="Times" w:eastAsia="Times" w:hAnsi="Times"/>
      </w:rPr>
    </w:pPr>
    <w:r w:rsidDel="00000000" w:rsidR="00000000" w:rsidRPr="00000000">
      <w:rPr>
        <w:rFonts w:ascii="Verdana" w:cs="Verdana" w:eastAsia="Verdana" w:hAnsi="Verdana"/>
        <w:color w:val="808080"/>
        <w:sz w:val="18"/>
        <w:szCs w:val="18"/>
        <w:rtl w:val="0"/>
      </w:rPr>
      <w:br w:type="textWrapping"/>
    </w:r>
    <w:r w:rsidDel="00000000" w:rsidR="00000000" w:rsidRPr="00000000">
      <w:rPr>
        <w:color w:val="808080"/>
        <w:sz w:val="18"/>
        <w:szCs w:val="18"/>
        <w:rtl w:val="0"/>
      </w:rPr>
      <w:t xml:space="preserve">    </w:t>
    </w:r>
    <w:r w:rsidDel="00000000" w:rsidR="00000000" w:rsidRPr="00000000">
      <w:rPr>
        <w:rFonts w:ascii="Verdana" w:cs="Verdana" w:eastAsia="Verdana" w:hAnsi="Verdana"/>
        <w:b w:val="1"/>
        <w:bCs w:val="1"/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rFonts w:ascii="Verdana" w:cs="Verdana" w:eastAsia="Verdana" w:hAnsi="Verdana"/>
        <w:b w:val="1"/>
        <w:bCs w:val="1"/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t xml:space="preserve">-1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49530</wp:posOffset>
          </wp:positionV>
          <wp:extent cx="304800" cy="304800"/>
          <wp:effectExtent b="0" l="0" r="0" t="0"/>
          <wp:wrapSquare wrapText="bothSides" distB="0" distT="0" distL="114300" distR="114300"/>
          <wp:docPr descr="Icono&#10;&#10;Descripción generada automáticamente con confianza baja" id="54" name="image2.jpg"/>
          <a:graphic>
            <a:graphicData uri="http://schemas.openxmlformats.org/drawingml/2006/picture">
              <pic:pic>
                <pic:nvPicPr>
                  <pic:cNvPr descr="Icono&#10;&#10;Descripción generada automáticamente con confianza baj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Programación de aula Matemáticas 1ºESO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left"/>
      <w:rPr>
        <w:rFonts w:ascii="Rasa" w:cs="Rasa" w:eastAsia="Rasa" w:hAnsi="Rasa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tabs>
        <w:tab w:val="right" w:leader="none" w:pos="10080"/>
      </w:tabs>
      <w:spacing w:after="0" w:lineRule="auto"/>
      <w:jc w:val="left"/>
      <w:rPr>
        <w:rFonts w:ascii="Verdana" w:cs="Verdana" w:eastAsia="Verdana" w:hAnsi="Verdana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7556500</wp:posOffset>
          </wp:positionH>
          <wp:positionV relativeFrom="paragraph">
            <wp:posOffset>-634</wp:posOffset>
          </wp:positionV>
          <wp:extent cx="2028190" cy="779780"/>
          <wp:effectExtent b="0" l="0" r="0" t="0"/>
          <wp:wrapSquare wrapText="bothSides" distB="0" distT="0" distL="114300" distR="114300"/>
          <wp:docPr descr="Interfaz de usuario gráfica, Texto, Aplicación, Sitio web&#10;&#10;Descripción generada automáticamente" id="53" name="image1.png"/>
          <a:graphic>
            <a:graphicData uri="http://schemas.openxmlformats.org/drawingml/2006/picture">
              <pic:pic>
                <pic:nvPicPr>
                  <pic:cNvPr descr="Interfaz de usuario gráfica, Texto, Aplicación, Sitio web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8190" cy="779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tabs>
        <w:tab w:val="left" w:leader="none" w:pos="720"/>
      </w:tabs>
      <w:spacing w:after="0" w:lineRule="auto"/>
      <w:jc w:val="left"/>
      <w:rPr>
        <w:b w:val="1"/>
        <w:bCs w:val="1"/>
        <w:color w:val="059ddc"/>
        <w:sz w:val="44"/>
        <w:szCs w:val="44"/>
      </w:rPr>
    </w:pPr>
    <w:r w:rsidDel="00000000" w:rsidR="00000000" w:rsidRPr="00000000">
      <w:rPr>
        <w:b w:val="1"/>
        <w:bCs w:val="1"/>
        <w:color w:val="059ddc"/>
        <w:sz w:val="44"/>
        <w:szCs w:val="44"/>
        <w:rtl w:val="0"/>
      </w:rPr>
      <w:t xml:space="preserve">Programación de aula – Unidad 1 Matemáticas 1º ESO</w:t>
    </w:r>
  </w:p>
  <w:p w:rsidR="00000000" w:rsidDel="00000000" w:rsidP="00000000" w:rsidRDefault="00000000" w:rsidRPr="00000000" w14:paraId="000000E1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2541</wp:posOffset>
              </wp:positionH>
              <wp:positionV relativeFrom="paragraph">
                <wp:posOffset>3810</wp:posOffset>
              </wp:positionV>
              <wp:extent cx="0" cy="12700"/>
              <wp:effectExtent b="0" l="0" r="0" t="0"/>
              <wp:wrapNone/>
              <wp:docPr id="5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26488" y="378000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98D8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2541</wp:posOffset>
              </wp:positionH>
              <wp:positionV relativeFrom="paragraph">
                <wp:posOffset>3810</wp:posOffset>
              </wp:positionV>
              <wp:extent cx="0" cy="12700"/>
              <wp:effectExtent b="0" l="0" r="0" t="0"/>
              <wp:wrapNone/>
              <wp:docPr id="5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3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asa" w:cs="Rasa" w:eastAsia="Rasa" w:hAnsi="Ras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iedepgina">
    <w:name w:val="footer"/>
    <w:basedOn w:val="Normal"/>
    <w:link w:val="PiedepginaCar"/>
    <w:rsid w:val="001702D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1702D2"/>
    <w:rPr>
      <w:rFonts w:ascii="SRA Sans 1.0" w:cs="Times New Roman" w:eastAsia="Times New Roman" w:hAnsi="SRA Sans 1.0"/>
      <w:sz w:val="20"/>
      <w:szCs w:val="22"/>
      <w:lang w:eastAsia="es-ES"/>
    </w:rPr>
  </w:style>
  <w:style w:type="paragraph" w:styleId="Prrafodelista">
    <w:name w:val="List Paragraph"/>
    <w:basedOn w:val="Normal"/>
    <w:uiPriority w:val="34"/>
    <w:qFormat w:val="1"/>
    <w:rsid w:val="001702D2"/>
    <w:pPr>
      <w:ind w:left="708"/>
    </w:pPr>
  </w:style>
  <w:style w:type="character" w:styleId="ng-directive" w:customStyle="1">
    <w:name w:val="ng-directive"/>
    <w:basedOn w:val="Fuentedeprrafopredeter"/>
    <w:rsid w:val="001702D2"/>
  </w:style>
  <w:style w:type="paragraph" w:styleId="TIT1" w:customStyle="1">
    <w:name w:val="_TIT1"/>
    <w:basedOn w:val="Normal"/>
    <w:link w:val="TIT1Car"/>
    <w:qFormat w:val="1"/>
    <w:rsid w:val="001702D2"/>
    <w:pPr>
      <w:spacing w:before="360"/>
    </w:pPr>
    <w:rPr>
      <w:rFonts w:ascii="Verdana" w:hAnsi="Verdana"/>
      <w:b w:val="1"/>
      <w:bCs w:val="1"/>
      <w:sz w:val="44"/>
      <w:szCs w:val="44"/>
      <w:lang w:val="en-US"/>
    </w:rPr>
  </w:style>
  <w:style w:type="character" w:styleId="TIT1Car" w:customStyle="1">
    <w:name w:val="_TIT1 Car"/>
    <w:basedOn w:val="Fuentedeprrafopredeter"/>
    <w:link w:val="TIT1"/>
    <w:rsid w:val="001702D2"/>
    <w:rPr>
      <w:rFonts w:ascii="Verdana" w:cs="Times New Roman" w:eastAsia="Times New Roman" w:hAnsi="Verdana"/>
      <w:b w:val="1"/>
      <w:bCs w:val="1"/>
      <w:sz w:val="44"/>
      <w:szCs w:val="44"/>
      <w:lang w:eastAsia="es-ES" w:val="en-US"/>
    </w:rPr>
  </w:style>
  <w:style w:type="paragraph" w:styleId="Prrafodelista1" w:customStyle="1">
    <w:name w:val="Párrafo de lista1"/>
    <w:basedOn w:val="Normal"/>
    <w:uiPriority w:val="99"/>
    <w:qFormat w:val="1"/>
    <w:rsid w:val="001702D2"/>
    <w:pPr>
      <w:ind w:left="708"/>
    </w:pPr>
    <w:rPr>
      <w:rFonts w:cs="SRA Sans 1.0"/>
      <w:sz w:val="24"/>
      <w:szCs w:val="24"/>
      <w:lang w:val="es-ES_tradnl"/>
    </w:rPr>
  </w:style>
  <w:style w:type="paragraph" w:styleId="TABLAtxtnegraTABLA" w:customStyle="1">
    <w:name w:val="TABLA _txt negra (TABLA)"/>
    <w:basedOn w:val="Normal"/>
    <w:uiPriority w:val="99"/>
    <w:rsid w:val="001702D2"/>
    <w:pPr>
      <w:tabs>
        <w:tab w:val="left" w:pos="283"/>
      </w:tabs>
      <w:autoSpaceDE w:val="0"/>
      <w:autoSpaceDN w:val="0"/>
      <w:adjustRightInd w:val="0"/>
      <w:spacing w:after="113" w:line="240" w:lineRule="atLeast"/>
      <w:textAlignment w:val="center"/>
    </w:pPr>
    <w:rPr>
      <w:rFonts w:ascii="ClanPro-CondNews" w:cs="ClanPro-CondNews" w:eastAsia="MS Mincho" w:hAnsi="ClanPro-CondNews"/>
      <w:color w:val="000000"/>
      <w:sz w:val="24"/>
      <w:szCs w:val="24"/>
      <w:lang w:val="es-ES_tradnl"/>
    </w:rPr>
  </w:style>
  <w:style w:type="character" w:styleId="TABLAnegraTABLA" w:customStyle="1">
    <w:name w:val="TABLA_negra (TABLA)"/>
    <w:uiPriority w:val="99"/>
    <w:rsid w:val="001702D2"/>
    <w:rPr>
      <w:rFonts w:ascii="ClanPro-CondNews" w:hAnsi="ClanPro-CondNews"/>
      <w:sz w:val="20"/>
    </w:rPr>
  </w:style>
  <w:style w:type="paragraph" w:styleId="NormalWeb">
    <w:name w:val="Normal (Web)"/>
    <w:basedOn w:val="Normal"/>
    <w:uiPriority w:val="99"/>
    <w:rsid w:val="001702D2"/>
    <w:pPr>
      <w:spacing w:afterLines="1" w:beforeLines="1"/>
      <w:jc w:val="left"/>
    </w:pPr>
    <w:rPr>
      <w:rFonts w:ascii="Times" w:cs="Times" w:hAnsi="Times"/>
      <w:sz w:val="24"/>
      <w:szCs w:val="24"/>
      <w:lang w:eastAsia="en-US" w:val="en-US"/>
    </w:rPr>
  </w:style>
  <w:style w:type="paragraph" w:styleId="OmniPage9" w:customStyle="1">
    <w:name w:val="OmniPage #9"/>
    <w:basedOn w:val="Normal"/>
    <w:uiPriority w:val="99"/>
    <w:rsid w:val="001702D2"/>
    <w:pPr>
      <w:tabs>
        <w:tab w:val="left" w:pos="60"/>
      </w:tabs>
      <w:suppressAutoHyphens w:val="1"/>
      <w:autoSpaceDE w:val="0"/>
      <w:spacing w:after="0" w:line="286" w:lineRule="atLeast"/>
      <w:ind w:left="1425" w:right="45"/>
    </w:pPr>
    <w:rPr>
      <w:rFonts w:ascii="Arial" w:cs="Arial" w:hAnsi="Arial"/>
      <w:szCs w:val="20"/>
      <w:lang w:eastAsia="ar-SA" w:val="en-US"/>
    </w:rPr>
  </w:style>
  <w:style w:type="paragraph" w:styleId="Pa6" w:customStyle="1">
    <w:name w:val="Pa6"/>
    <w:basedOn w:val="Normal"/>
    <w:next w:val="Normal"/>
    <w:uiPriority w:val="99"/>
    <w:rsid w:val="001702D2"/>
    <w:pPr>
      <w:autoSpaceDE w:val="0"/>
      <w:autoSpaceDN w:val="0"/>
      <w:adjustRightInd w:val="0"/>
      <w:spacing w:after="0" w:line="201" w:lineRule="atLeast"/>
      <w:jc w:val="left"/>
    </w:pPr>
    <w:rPr>
      <w:rFonts w:ascii="Arial" w:cs="Arial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1702D2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1702D2"/>
    <w:rPr>
      <w:rFonts w:ascii="SRA Sans 1.0" w:cs="Times New Roman" w:eastAsia="Times New Roman" w:hAnsi="SRA Sans 1.0"/>
      <w:sz w:val="20"/>
      <w:szCs w:val="22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Rasa-regular.ttf"/><Relationship Id="rId4" Type="http://schemas.openxmlformats.org/officeDocument/2006/relationships/font" Target="fonts/Rasa-bold.ttf"/><Relationship Id="rId5" Type="http://schemas.openxmlformats.org/officeDocument/2006/relationships/font" Target="fonts/Rasa-italic.ttf"/><Relationship Id="rId6" Type="http://schemas.openxmlformats.org/officeDocument/2006/relationships/font" Target="fonts/Ras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Y0PyP03GqOt+R2mv2JB5mt40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zIPaWQuODA4ZHdyZ2x3OTc3OAByITF3S2h2WGNXTlhxRzk2dkFLSVpZWjl5TmVVUFRwODh5M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AAF08EC-0860-47DC-BB30-C9EB27A94E9F}"/>
</file>

<file path=customXML/itemProps3.xml><?xml version="1.0" encoding="utf-8"?>
<ds:datastoreItem xmlns:ds="http://schemas.openxmlformats.org/officeDocument/2006/customXml" ds:itemID="{4DE8FF1A-A23C-4F9C-8005-7274093C308F}"/>
</file>

<file path=customXML/itemProps4.xml><?xml version="1.0" encoding="utf-8"?>
<ds:datastoreItem xmlns:ds="http://schemas.openxmlformats.org/officeDocument/2006/customXml" ds:itemID="{00C948F9-7B77-43D2-8B47-4CAC52A6A03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 Victoria de la Iglesia Meleiro</dc:creator>
  <dcterms:created xsi:type="dcterms:W3CDTF">2022-06-13T08:49:00Z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