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bCs w:val="1"/>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000000"/>
          <w:sz w:val="32"/>
          <w:szCs w:val="32"/>
          <w:u w:val="none"/>
          <w:shd w:fill="auto" w:val="clear"/>
          <w:vertAlign w:val="baseline"/>
          <w:rtl w:val="0"/>
        </w:rPr>
        <w:t xml:space="preserve">. UNIDAD 10</w:t>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35"/>
        <w:gridCol w:w="705"/>
        <w:gridCol w:w="1020"/>
        <w:gridCol w:w="255"/>
        <w:gridCol w:w="105"/>
        <w:gridCol w:w="1530"/>
        <w:gridCol w:w="780"/>
        <w:gridCol w:w="750"/>
        <w:gridCol w:w="1515"/>
        <w:gridCol w:w="1335"/>
        <w:tblGridChange w:id="0">
          <w:tblGrid>
            <w:gridCol w:w="1635"/>
            <w:gridCol w:w="705"/>
            <w:gridCol w:w="1020"/>
            <w:gridCol w:w="255"/>
            <w:gridCol w:w="105"/>
            <w:gridCol w:w="1530"/>
            <w:gridCol w:w="780"/>
            <w:gridCol w:w="750"/>
            <w:gridCol w:w="1515"/>
            <w:gridCol w:w="1335"/>
          </w:tblGrid>
        </w:tblGridChange>
      </w:tblGrid>
      <w:tr>
        <w:trPr>
          <w:cantSplit w:val="0"/>
          <w:trHeight w:val="200" w:hRule="atLeast"/>
          <w:tblHeader w:val="0"/>
        </w:trPr>
        <w:tc>
          <w:tcPr>
            <w:gridSpan w:val="10"/>
            <w:tcBorders>
              <w:top w:color="059ddc" w:space="0" w:sz="8" w:val="single"/>
              <w:left w:color="059ddc" w:space="0" w:sz="8" w:val="single"/>
              <w:bottom w:color="059ddc" w:space="0" w:sz="6" w:val="single"/>
              <w:right w:color="059ddc" w:space="0" w:sz="8" w:val="single"/>
            </w:tcBorders>
            <w:shd w:fill="059ddc" w:val="clear"/>
          </w:tcPr>
          <w:p w:rsidR="00000000" w:rsidDel="00000000" w:rsidP="00000000" w:rsidRDefault="00000000" w:rsidRPr="00000000" w14:paraId="00000002">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Identificación</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Título</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0E">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Reciclaje y reducción de costes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Etapa</w:t>
            </w:r>
          </w:p>
        </w:tc>
        <w:tc>
          <w:tcPr>
            <w:gridSpan w:val="6"/>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018">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Bachillerato</w:t>
            </w:r>
          </w:p>
        </w:tc>
        <w:tc>
          <w:tcPr>
            <w:tcBorders>
              <w:top w:color="059ddc" w:space="0" w:sz="6" w:val="single"/>
              <w:left w:color="059ddc" w:space="0" w:sz="6" w:val="single"/>
              <w:bottom w:color="059ddc" w:space="0" w:sz="6" w:val="single"/>
              <w:right w:color="059ddc" w:space="0" w:sz="6" w:val="single"/>
            </w:tcBorders>
            <w:shd w:fill="059ddc" w:val="clear"/>
          </w:tcPr>
          <w:p w:rsidR="00000000" w:rsidDel="00000000" w:rsidP="00000000" w:rsidRDefault="00000000" w:rsidRPr="00000000" w14:paraId="0000001E">
            <w:pPr>
              <w:spacing w:after="60" w:before="60" w:lineRule="auto"/>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Curso</w:t>
            </w:r>
          </w:p>
        </w:tc>
        <w:tc>
          <w:tcPr>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1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Área/materia</w:t>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22">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Matemáticas </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Descripción</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2C">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actividad Reciclaje y reducción de costes el alumnado investiga las tendencias actuales en el sector del embalaje para reducir la huella ecológica y los costes de producción. A partir de esta investigación, modeliza matemáticamente el problema de diseño de una lata (cilindro), utilizando derivadas para optimizar su coste en función de sus dimensiones. Finalmente, elabora una presentación donde explica las soluciones obtenidas y su relación con la reducción de residuos y costes.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Transversalidad</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36">
            <w:pPr>
              <w:numPr>
                <w:ilvl w:val="0"/>
                <w:numId w:val="1"/>
              </w:numPr>
              <w:spacing w:after="200" w:before="0" w:lineRule="auto"/>
              <w:ind w:left="720" w:hanging="360"/>
              <w:rPr>
                <w:rFonts w:ascii="Calibri" w:cs="Calibri" w:eastAsia="Calibri" w:hAnsi="Calibri"/>
                <w:sz w:val="20"/>
                <w:szCs w:val="20"/>
                <w:u w:val="none"/>
              </w:rPr>
            </w:pPr>
            <w:r w:rsidDel="00000000" w:rsidR="00000000" w:rsidRPr="00000000">
              <w:rPr>
                <w:rFonts w:ascii="Calibri" w:cs="Calibri" w:eastAsia="Calibri" w:hAnsi="Calibri"/>
                <w:i w:val="1"/>
                <w:iCs w:val="1"/>
                <w:sz w:val="20"/>
                <w:szCs w:val="20"/>
                <w:rtl w:val="0"/>
              </w:rPr>
              <w:t xml:space="preserve">Departamento de Economía</w:t>
            </w:r>
            <w:r w:rsidDel="00000000" w:rsidR="00000000" w:rsidRPr="00000000">
              <w:rPr>
                <w:rFonts w:ascii="Calibri" w:cs="Calibri" w:eastAsia="Calibri" w:hAnsi="Calibri"/>
                <w:sz w:val="20"/>
                <w:szCs w:val="20"/>
                <w:rtl w:val="0"/>
              </w:rPr>
              <w:t xml:space="preserve">: vinculado al análisis de costes de producción y optimización de recursos.</w:t>
            </w:r>
          </w:p>
          <w:p w:rsidR="00000000" w:rsidDel="00000000" w:rsidP="00000000" w:rsidRDefault="00000000" w:rsidRPr="00000000" w14:paraId="00000037">
            <w:pPr>
              <w:numPr>
                <w:ilvl w:val="0"/>
                <w:numId w:val="1"/>
              </w:numPr>
              <w:spacing w:after="60" w:before="60" w:lineRule="auto"/>
              <w:ind w:left="720" w:hanging="360"/>
              <w:rPr>
                <w:rFonts w:ascii="Calibri" w:cs="Calibri" w:eastAsia="Calibri" w:hAnsi="Calibri"/>
                <w:sz w:val="20"/>
                <w:szCs w:val="20"/>
                <w:u w:val="none"/>
              </w:rPr>
            </w:pPr>
            <w:r w:rsidDel="00000000" w:rsidR="00000000" w:rsidRPr="00000000">
              <w:rPr>
                <w:rFonts w:ascii="Calibri" w:cs="Calibri" w:eastAsia="Calibri" w:hAnsi="Calibri"/>
                <w:i w:val="1"/>
                <w:iCs w:val="1"/>
                <w:sz w:val="20"/>
                <w:szCs w:val="20"/>
                <w:rtl w:val="0"/>
              </w:rPr>
              <w:t xml:space="preserve">Departamento de Tecnologí</w:t>
            </w:r>
            <w:r w:rsidDel="00000000" w:rsidR="00000000" w:rsidRPr="00000000">
              <w:rPr>
                <w:rFonts w:ascii="Calibri" w:cs="Calibri" w:eastAsia="Calibri" w:hAnsi="Calibri"/>
                <w:sz w:val="20"/>
                <w:szCs w:val="20"/>
                <w:rtl w:val="0"/>
              </w:rPr>
              <w:t xml:space="preserve">a: relacionado con el diseño de envases y la eficiencia en materiales y procesos industriales.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3F">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Finalidad</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41">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pretende que el alumnado comprenda cómo las matemáticas, y en particular las derivadas, permiten modelizar y resolver problemas reales de optimización. Asimismo, se busca que desarrollen la capacidad de interpretar resultados matemáticos en contextos reales, valorando su impacto en la reducción de costes y en la sostenibilidad, y que sean conscientes del papel de las matemáticas en la toma de decisiones en ámbitos científicos y tecnológicos.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49">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Temporalización</w:t>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4B">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sesiones lectivas</w:t>
            </w:r>
          </w:p>
        </w:tc>
      </w:tr>
      <w:tr>
        <w:trPr>
          <w:cantSplit w:val="0"/>
          <w:trHeight w:val="200" w:hRule="atLeast"/>
          <w:tblHeader w:val="0"/>
        </w:trPr>
        <w:tc>
          <w:tcPr>
            <w:gridSpan w:val="10"/>
            <w:tcBorders>
              <w:top w:color="059ddc" w:space="0" w:sz="6" w:val="single"/>
              <w:left w:color="059ddc" w:space="0" w:sz="8" w:val="single"/>
              <w:bottom w:color="059ddc" w:space="0" w:sz="6" w:val="single"/>
              <w:right w:color="059ddc" w:space="0" w:sz="8" w:val="single"/>
            </w:tcBorders>
            <w:shd w:fill="059ddc" w:val="clear"/>
          </w:tcPr>
          <w:p w:rsidR="00000000" w:rsidDel="00000000" w:rsidP="00000000" w:rsidRDefault="00000000" w:rsidRPr="00000000" w14:paraId="00000053">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Elementos curriculares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5D">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Objetivos ESO</w:t>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5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Lista de objetivos a trabajar:</w:t>
            </w:r>
          </w:p>
          <w:tbl>
            <w:tblPr>
              <w:tblStyle w:val="Table2"/>
              <w:tblW w:w="7050.000000000001" w:type="dxa"/>
              <w:jc w:val="left"/>
              <w:tblLayout w:type="fixed"/>
              <w:tblLook w:val="0400"/>
            </w:tblPr>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Change w:id="0">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
              </w:tblGridChange>
            </w:tblGrid>
            <w:tr>
              <w:trPr>
                <w:cantSplit w:val="0"/>
                <w:tblHeader w:val="0"/>
              </w:trPr>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m)</w:t>
                  </w:r>
                  <w:r w:rsidDel="00000000" w:rsidR="00000000" w:rsidRPr="00000000">
                    <w:rPr>
                      <w:rtl w:val="0"/>
                    </w:rPr>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n)</w:t>
                  </w:r>
                  <w:r w:rsidDel="00000000" w:rsidR="00000000" w:rsidRPr="00000000">
                    <w:rPr>
                      <w:rtl w:val="0"/>
                    </w:rPr>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o)</w:t>
                  </w:r>
                </w:p>
              </w:tc>
            </w:tr>
            <w:tr>
              <w:trPr>
                <w:cantSplit w:val="0"/>
                <w:tblHeader w:val="0"/>
              </w:trPr>
              <w:tc>
                <w:tcPr>
                  <w:tcBorders>
                    <w:top w:color="059ddc" w:space="0" w:sz="6" w:val="single"/>
                    <w:left w:color="000000" w:space="0" w:sz="0" w:val="nil"/>
                    <w:bottom w:color="000000" w:space="0" w:sz="0" w:val="nil"/>
                    <w:right w:color="059ddc" w:space="0" w:sz="8"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00000" w:space="0" w:sz="0" w:val="nil"/>
                  </w:tcBorders>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E">
            <w:pPr>
              <w:spacing w:after="60" w:before="60" w:lineRule="auto"/>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86">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Saber básico</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088">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Cambio.</w:t>
            </w:r>
          </w:p>
          <w:p w:rsidR="00000000" w:rsidDel="00000000" w:rsidP="00000000" w:rsidRDefault="00000000" w:rsidRPr="00000000" w14:paraId="00000089">
            <w:pPr>
              <w:numPr>
                <w:ilvl w:val="0"/>
                <w:numId w:val="4"/>
              </w:numPr>
              <w:spacing w:after="0" w:afterAutospacing="0"/>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Límites: estimación y cálculo a partir de una tabla, un gráfico o una expresión algebraica.</w:t>
            </w:r>
          </w:p>
          <w:p w:rsidR="00000000" w:rsidDel="00000000" w:rsidP="00000000" w:rsidRDefault="00000000" w:rsidRPr="00000000" w14:paraId="0000008A">
            <w:pPr>
              <w:numPr>
                <w:ilvl w:val="0"/>
                <w:numId w:val="4"/>
              </w:numPr>
              <w:spacing w:after="0" w:afterAutospacing="0"/>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Continuidad de funciones: aplicación de límites en el estudio de la continuidad.</w:t>
            </w:r>
          </w:p>
          <w:p w:rsidR="00000000" w:rsidDel="00000000" w:rsidP="00000000" w:rsidRDefault="00000000" w:rsidRPr="00000000" w14:paraId="0000008B">
            <w:pPr>
              <w:numPr>
                <w:ilvl w:val="0"/>
                <w:numId w:val="4"/>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Derivada de una función: definición a partir del estudio del cambio en diferentes contextos</w:t>
            </w:r>
          </w:p>
          <w:p w:rsidR="00000000" w:rsidDel="00000000" w:rsidP="00000000" w:rsidRDefault="00000000" w:rsidRPr="00000000" w14:paraId="0000008C">
            <w:pPr>
              <w:jc w:val="center"/>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94">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Competencias específicas</w:t>
            </w:r>
          </w:p>
        </w:tc>
        <w:tc>
          <w:tcPr>
            <w:gridSpan w:val="2"/>
            <w:tcBorders>
              <w:top w:color="059ddc" w:space="0" w:sz="6" w:val="single"/>
              <w:left w:color="059ddc" w:space="0" w:sz="6" w:val="single"/>
              <w:bottom w:color="059ddc" w:space="0" w:sz="6" w:val="single"/>
              <w:right w:color="059ddc" w:space="0" w:sz="6" w:val="single"/>
            </w:tcBorders>
            <w:shd w:fill="059ddc" w:val="clear"/>
            <w:vAlign w:val="center"/>
          </w:tcPr>
          <w:p w:rsidR="00000000" w:rsidDel="00000000" w:rsidP="00000000" w:rsidRDefault="00000000" w:rsidRPr="00000000" w14:paraId="00000095">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Criterios de evaluación</w:t>
            </w:r>
          </w:p>
        </w:tc>
        <w:tc>
          <w:tcPr>
            <w:gridSpan w:val="7"/>
            <w:tcBorders>
              <w:top w:color="059ddc" w:space="0" w:sz="6" w:val="single"/>
              <w:left w:color="059ddc" w:space="0" w:sz="6" w:val="single"/>
              <w:bottom w:color="059ddc" w:space="0" w:sz="6" w:val="single"/>
              <w:right w:color="059ddc" w:space="0" w:sz="8" w:val="single"/>
            </w:tcBorders>
            <w:shd w:fill="059ddc" w:val="clear"/>
            <w:vAlign w:val="center"/>
          </w:tcPr>
          <w:p w:rsidR="00000000" w:rsidDel="00000000" w:rsidP="00000000" w:rsidRDefault="00000000" w:rsidRPr="00000000" w14:paraId="00000097">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Descriptor operativo</w:t>
            </w:r>
            <w:r w:rsidDel="00000000" w:rsidR="00000000" w:rsidRPr="00000000">
              <w:rPr>
                <w:rtl w:val="0"/>
              </w:rPr>
            </w:r>
          </w:p>
        </w:tc>
      </w:tr>
      <w:tr>
        <w:trPr>
          <w:cantSplit w:val="0"/>
          <w:trHeight w:val="200" w:hRule="atLeast"/>
          <w:tblHeader w:val="0"/>
        </w:trPr>
        <w:tc>
          <w:tcPr>
            <w:vMerge w:val="restart"/>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9E">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9F">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gridSpan w:val="7"/>
            <w:vMerge w:val="restart"/>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A1">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STEM1, STEM2, STEM3, CD2, CD5, CPSAA4, CPSAA5, CE3.</w:t>
            </w:r>
          </w:p>
        </w:tc>
      </w:tr>
      <w:tr>
        <w:trPr>
          <w:cantSplit w:val="0"/>
          <w:trHeight w:val="200" w:hRule="atLeast"/>
          <w:tblHeader w:val="0"/>
        </w:trPr>
        <w:tc>
          <w:tcPr>
            <w:vMerge w:val="continue"/>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A9">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gridSpan w:val="7"/>
            <w:vMerge w:val="continue"/>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B2">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B3">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gridSpan w:val="7"/>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B5">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STEM1, STEM2, CD3, CPSAA4, CC3, CE3</w:t>
            </w:r>
          </w:p>
        </w:tc>
      </w:tr>
      <w:tr>
        <w:trPr>
          <w:cantSplit w:val="0"/>
          <w:trHeight w:val="220" w:hRule="atLeast"/>
          <w:tblHeader w:val="0"/>
        </w:trPr>
        <w:tc>
          <w:tcPr>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BC">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BD">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w:t>
            </w:r>
          </w:p>
        </w:tc>
        <w:tc>
          <w:tcPr>
            <w:gridSpan w:val="7"/>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BF">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STEM1, STEM3, CD2, CD3</w:t>
            </w:r>
          </w:p>
        </w:tc>
      </w:tr>
      <w:tr>
        <w:trPr>
          <w:cantSplit w:val="0"/>
          <w:trHeight w:val="454"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C6">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Elementos transversales</w:t>
            </w:r>
            <w:r w:rsidDel="00000000" w:rsidR="00000000" w:rsidRPr="00000000">
              <w:rPr>
                <w:rFonts w:ascii="Calibri" w:cs="Calibri" w:eastAsia="Calibri" w:hAnsi="Calibri"/>
                <w:color w:val="ffffff"/>
                <w:sz w:val="20"/>
                <w:szCs w:val="20"/>
                <w:vertAlign w:val="superscript"/>
              </w:rPr>
              <w:footnoteReference w:customMarkFollows="0" w:id="0"/>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0C8">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 CD, FECC</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tcPr>
          <w:p w:rsidR="00000000" w:rsidDel="00000000" w:rsidP="00000000" w:rsidRDefault="00000000" w:rsidRPr="00000000" w14:paraId="000000D0">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ODS implicados</w:t>
            </w:r>
          </w:p>
        </w:tc>
        <w:tc>
          <w:tcPr>
            <w:gridSpan w:val="8"/>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0D2">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Educación de calidad</w:t>
            </w:r>
          </w:p>
        </w:tc>
      </w:tr>
      <w:tr>
        <w:trPr>
          <w:cantSplit w:val="0"/>
          <w:trHeight w:val="200" w:hRule="atLeast"/>
          <w:tblHeader w:val="0"/>
        </w:trPr>
        <w:tc>
          <w:tcPr>
            <w:gridSpan w:val="10"/>
            <w:tcBorders>
              <w:top w:color="059ddc" w:space="0" w:sz="6"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DA">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Metodología</w:t>
            </w:r>
          </w:p>
        </w:tc>
      </w:tr>
      <w:tr>
        <w:trPr>
          <w:cantSplit w:val="0"/>
          <w:trHeight w:val="200" w:hRule="atLeast"/>
          <w:tblHeader w:val="0"/>
        </w:trPr>
        <w:tc>
          <w:tcPr>
            <w:gridSpan w:val="2"/>
            <w:vMerge w:val="restart"/>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E4">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Recursos didácticos</w:t>
            </w:r>
          </w:p>
        </w:tc>
        <w:tc>
          <w:tcPr>
            <w:gridSpan w:val="5"/>
            <w:tcBorders>
              <w:top w:color="059ddc" w:space="0" w:sz="6" w:val="single"/>
              <w:left w:color="059ddc" w:space="0" w:sz="6" w:val="single"/>
              <w:bottom w:color="059ddc" w:space="0" w:sz="6" w:val="single"/>
              <w:right w:color="059ddc" w:space="0" w:sz="6" w:val="single"/>
            </w:tcBorders>
            <w:shd w:fill="059ddc" w:val="clear"/>
          </w:tcPr>
          <w:p w:rsidR="00000000" w:rsidDel="00000000" w:rsidP="00000000" w:rsidRDefault="00000000" w:rsidRPr="00000000" w14:paraId="000000E6">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 carácter físico</w:t>
            </w:r>
            <w:r w:rsidDel="00000000" w:rsidR="00000000" w:rsidRPr="00000000">
              <w:rPr>
                <w:rtl w:val="0"/>
              </w:rPr>
            </w:r>
          </w:p>
        </w:tc>
        <w:tc>
          <w:tcPr>
            <w:gridSpan w:val="3"/>
            <w:tcBorders>
              <w:top w:color="059ddc" w:space="0" w:sz="6" w:val="single"/>
              <w:left w:color="059ddc" w:space="0" w:sz="6" w:val="single"/>
              <w:bottom w:color="059ddc" w:space="0" w:sz="6" w:val="single"/>
              <w:right w:color="059ddc" w:space="0" w:sz="8" w:val="single"/>
            </w:tcBorders>
            <w:shd w:fill="059ddc" w:val="clear"/>
          </w:tcPr>
          <w:p w:rsidR="00000000" w:rsidDel="00000000" w:rsidP="00000000" w:rsidRDefault="00000000" w:rsidRPr="00000000" w14:paraId="000000EB">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 carácter no físico</w:t>
            </w:r>
          </w:p>
        </w:tc>
      </w:tr>
      <w:tr>
        <w:trPr>
          <w:cantSplit w:val="0"/>
          <w:trHeight w:val="200" w:hRule="atLeast"/>
          <w:tblHeader w:val="0"/>
        </w:trPr>
        <w:tc>
          <w:tcPr>
            <w:gridSpan w:val="2"/>
            <w:vMerge w:val="continue"/>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5"/>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0F0">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 texto, proyector y pizarra, libreta del alumnado, ordenadores.</w:t>
            </w:r>
          </w:p>
        </w:tc>
        <w:tc>
          <w:tcPr>
            <w:gridSpan w:val="3"/>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F5">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Unidad 10 del libro de texto. </w:t>
            </w:r>
            <w:r w:rsidDel="00000000" w:rsidR="00000000" w:rsidRPr="00000000">
              <w:rPr>
                <w:rFonts w:ascii="Calibri" w:cs="Calibri" w:eastAsia="Calibri" w:hAnsi="Calibri"/>
                <w:i w:val="1"/>
                <w:iCs w:val="1"/>
                <w:sz w:val="20"/>
                <w:szCs w:val="20"/>
                <w:rtl w:val="0"/>
              </w:rPr>
              <w:t xml:space="preserve">Situación de aprendizaje</w:t>
            </w:r>
            <w:r w:rsidDel="00000000" w:rsidR="00000000" w:rsidRPr="00000000">
              <w:rPr>
                <w:rFonts w:ascii="Calibri" w:cs="Calibri" w:eastAsia="Calibri" w:hAnsi="Calibri"/>
                <w:sz w:val="20"/>
                <w:szCs w:val="20"/>
                <w:rtl w:val="0"/>
              </w:rPr>
              <w:t xml:space="preserve">: Atrévete: Reciclaje y reducción de costes.</w:t>
            </w:r>
            <w:r w:rsidDel="00000000" w:rsidR="00000000" w:rsidRPr="00000000">
              <w:rPr>
                <w:rtl w:val="0"/>
              </w:rPr>
            </w:r>
          </w:p>
        </w:tc>
      </w:tr>
      <w:tr>
        <w:trPr>
          <w:cantSplit w:val="0"/>
          <w:trHeight w:val="22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F8">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Secuenciación metodológica</w:t>
            </w:r>
          </w:p>
        </w:tc>
        <w:tc>
          <w:tcPr>
            <w:gridSpan w:val="8"/>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0FA">
            <w:pPr>
              <w:numPr>
                <w:ilvl w:val="0"/>
                <w:numId w:val="2"/>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Investigación</w:t>
            </w:r>
          </w:p>
          <w:p w:rsidR="00000000" w:rsidDel="00000000" w:rsidP="00000000" w:rsidRDefault="00000000" w:rsidRPr="00000000" w14:paraId="000000FB">
            <w:pPr>
              <w:numPr>
                <w:ilvl w:val="0"/>
                <w:numId w:val="2"/>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Elaboración del producto escogido</w:t>
            </w:r>
          </w:p>
          <w:p w:rsidR="00000000" w:rsidDel="00000000" w:rsidP="00000000" w:rsidRDefault="00000000" w:rsidRPr="00000000" w14:paraId="000000FC">
            <w:pPr>
              <w:numPr>
                <w:ilvl w:val="0"/>
                <w:numId w:val="2"/>
              </w:numPr>
              <w:spacing w:after="60" w:before="60" w:lineRule="auto"/>
              <w:ind w:left="459"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Presentación a otros grupos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104">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Espacios</w:t>
            </w:r>
          </w:p>
        </w:tc>
        <w:tc>
          <w:tcPr>
            <w:gridSpan w:val="8"/>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106">
            <w:pPr>
              <w:numPr>
                <w:ilvl w:val="0"/>
                <w:numId w:val="3"/>
              </w:numPr>
              <w:tabs>
                <w:tab w:val="left" w:leader="none" w:pos="1325"/>
              </w:tabs>
              <w:spacing w:after="60" w:before="60" w:lineRule="auto"/>
              <w:ind w:left="72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Aula clase</w:t>
            </w:r>
          </w:p>
          <w:p w:rsidR="00000000" w:rsidDel="00000000" w:rsidP="00000000" w:rsidRDefault="00000000" w:rsidRPr="00000000" w14:paraId="00000107">
            <w:pPr>
              <w:numPr>
                <w:ilvl w:val="0"/>
                <w:numId w:val="3"/>
              </w:numPr>
              <w:tabs>
                <w:tab w:val="left" w:leader="none" w:pos="1325"/>
              </w:tabs>
              <w:spacing w:after="60" w:before="60" w:lineRule="auto"/>
              <w:ind w:left="72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Aula de informática (o portátiles)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10F">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Agrupamientos</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111">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Trabajo individual inicial, seguido de trabajo cooperativo en pequeños grupos y puesta en común en gran grupo.</w:t>
            </w:r>
          </w:p>
        </w:tc>
      </w:tr>
      <w:tr>
        <w:trPr>
          <w:cantSplit w:val="0"/>
          <w:trHeight w:val="200" w:hRule="atLeast"/>
          <w:tblHeader w:val="0"/>
        </w:trPr>
        <w:tc>
          <w:tcPr>
            <w:gridSpan w:val="2"/>
            <w:vMerge w:val="restart"/>
            <w:tcBorders>
              <w:top w:color="059ddc" w:space="0" w:sz="6" w:val="single"/>
              <w:left w:color="059ddc" w:space="0" w:sz="8" w:val="single"/>
              <w:bottom w:color="059ddc" w:space="0" w:sz="8" w:val="single"/>
              <w:right w:color="059ddc" w:space="0" w:sz="6" w:val="single"/>
            </w:tcBorders>
            <w:shd w:fill="059ddc" w:val="clear"/>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Atención a la diversidad</w:t>
            </w: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superscript"/>
              </w:rPr>
              <w:footnoteReference w:customMarkFollows="0" w:id="1"/>
            </w:r>
            <w:r w:rsidDel="00000000" w:rsidR="00000000" w:rsidRPr="00000000">
              <w:rPr>
                <w:rtl w:val="0"/>
              </w:rPr>
            </w:r>
          </w:p>
        </w:tc>
        <w:tc>
          <w:tcPr>
            <w:gridSpan w:val="2"/>
            <w:tcBorders>
              <w:top w:color="059ddc" w:space="0" w:sz="6" w:val="single"/>
              <w:left w:color="059ddc" w:space="0" w:sz="6" w:val="single"/>
              <w:bottom w:color="059ddc" w:space="0" w:sz="6" w:val="single"/>
              <w:right w:color="059ddc" w:space="0" w:sz="6" w:val="single"/>
            </w:tcBorders>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Refuerzo</w:t>
            </w:r>
          </w:p>
        </w:tc>
        <w:tc>
          <w:tcPr>
            <w:gridSpan w:val="6"/>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11D">
            <w:pPr>
              <w:widowControl w:val="0"/>
              <w:spacing w:after="60" w:before="60" w:lineRule="auto"/>
              <w:jc w:val="center"/>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sz w:val="20"/>
                <w:szCs w:val="20"/>
                <w:rtl w:val="0"/>
              </w:rPr>
              <w:t xml:space="preserve">Se proporcionarán enunciados simplificados y se detallarán las respuestas esperadas.</w:t>
            </w:r>
            <w:r w:rsidDel="00000000" w:rsidR="00000000" w:rsidRPr="00000000">
              <w:rPr>
                <w:rtl w:val="0"/>
              </w:rPr>
            </w:r>
          </w:p>
        </w:tc>
      </w:tr>
      <w:tr>
        <w:trPr>
          <w:cantSplit w:val="0"/>
          <w:trHeight w:val="200" w:hRule="atLeast"/>
          <w:tblHeader w:val="0"/>
        </w:trPr>
        <w:tc>
          <w:tcPr>
            <w:gridSpan w:val="2"/>
            <w:vMerge w:val="continue"/>
            <w:tcBorders>
              <w:top w:color="059ddc" w:space="0" w:sz="8" w:val="single"/>
              <w:left w:color="059ddc" w:space="0" w:sz="8" w:val="single"/>
              <w:bottom w:color="059ddc" w:space="0" w:sz="8" w:val="single"/>
              <w:right w:color="059ddc" w:space="0" w:sz="6" w:val="single"/>
            </w:tcBorders>
            <w:shd w:fill="059ddc"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59ddc" w:space="0" w:sz="6" w:val="single"/>
              <w:left w:color="059ddc" w:space="0" w:sz="6" w:val="single"/>
              <w:bottom w:color="059ddc" w:space="0" w:sz="8" w:val="single"/>
              <w:right w:color="059ddc" w:space="0" w:sz="6" w:val="single"/>
            </w:tcBorders>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Ampliación</w:t>
            </w:r>
          </w:p>
        </w:tc>
        <w:tc>
          <w:tcPr>
            <w:gridSpan w:val="6"/>
            <w:tcBorders>
              <w:top w:color="059ddc" w:space="0" w:sz="6" w:val="single"/>
              <w:left w:color="059ddc" w:space="0" w:sz="6" w:val="single"/>
              <w:bottom w:color="059ddc" w:space="0" w:sz="8" w:val="single"/>
              <w:right w:color="059ddc" w:space="0" w:sz="8" w:val="single"/>
            </w:tcBorders>
            <w:vAlign w:val="center"/>
          </w:tcPr>
          <w:p w:rsidR="00000000" w:rsidDel="00000000" w:rsidP="00000000" w:rsidRDefault="00000000" w:rsidRPr="00000000" w14:paraId="00000127">
            <w:pPr>
              <w:widowControl w:val="0"/>
              <w:tabs>
                <w:tab w:val="left" w:leader="none" w:pos="595"/>
                <w:tab w:val="left" w:leader="none" w:pos="3146"/>
              </w:tabs>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Incitar a profundizar en el tema. Actividades de mayor complejidad.</w:t>
            </w:r>
          </w:p>
        </w:tc>
      </w:tr>
    </w:tbl>
    <w:p w:rsidR="00000000" w:rsidDel="00000000" w:rsidP="00000000" w:rsidRDefault="00000000" w:rsidRPr="00000000" w14:paraId="0000012D">
      <w:pPr>
        <w:tabs>
          <w:tab w:val="left" w:leader="none" w:pos="3268"/>
        </w:tabs>
        <w:rPr/>
      </w:pPr>
      <w:r w:rsidDel="00000000" w:rsidR="00000000" w:rsidRPr="00000000">
        <w:rPr>
          <w:rtl w:val="0"/>
        </w:rPr>
      </w:r>
    </w:p>
    <w:p w:rsidR="00000000" w:rsidDel="00000000" w:rsidP="00000000" w:rsidRDefault="00000000" w:rsidRPr="00000000" w14:paraId="0000012E">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ELEMENTOS TRANSVERSALES</w:t>
      </w:r>
    </w:p>
    <w:p w:rsidR="00000000" w:rsidDel="00000000" w:rsidP="00000000" w:rsidRDefault="00000000" w:rsidRPr="00000000" w14:paraId="00000130">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color w:val="0000ff"/>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color w:val="0000ff"/>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color w:val="0000ff"/>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31">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26cfff" w:val="clear"/>
            <w:vAlign w:val="center"/>
          </w:tcPr>
          <w:p w:rsidR="00000000" w:rsidDel="00000000" w:rsidP="00000000" w:rsidRDefault="00000000" w:rsidRPr="00000000" w14:paraId="00000132">
            <w:pPr>
              <w:spacing w:after="40" w:before="40" w:line="276"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26cfff" w:val="clear"/>
            <w:vAlign w:val="center"/>
          </w:tcPr>
          <w:p w:rsidR="00000000" w:rsidDel="00000000" w:rsidP="00000000" w:rsidRDefault="00000000" w:rsidRPr="00000000" w14:paraId="00000133">
            <w:pPr>
              <w:spacing w:after="40" w:before="40" w:line="276" w:lineRule="auto"/>
              <w:jc w:val="center"/>
              <w:rPr>
                <w:rFonts w:ascii="Calibri" w:cs="Calibri" w:eastAsia="Calibri" w:hAnsi="Calibri"/>
                <w:color w:val="ffffff"/>
              </w:rPr>
            </w:pPr>
            <w:r w:rsidDel="00000000" w:rsidR="00000000" w:rsidRPr="00000000">
              <w:rPr>
                <w:rFonts w:ascii="Calibri" w:cs="Calibri" w:eastAsia="Calibri" w:hAnsi="Calibri"/>
                <w:color w:val="ffffff"/>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4">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9aOgv5HgIlV7VGRrMBwHJzOJXA==">CgMxLjAyCWguNGQzNG9nODgAciExZWw5Wk1nbmtnM0MwdjIzeTZ6WWZVV0NMTlctTEt1MVU=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6B4EA7C-1043-49E3-8B04-B2C5D9B5FC07}"/>
</file>

<file path=customXML/itemProps3.xml><?xml version="1.0" encoding="utf-8"?>
<ds:datastoreItem xmlns:ds="http://schemas.openxmlformats.org/officeDocument/2006/customXml" ds:itemID="{404B508D-27D7-43A2-A2C3-B8A086A62A51}"/>
</file>

<file path=customXML/itemProps4.xml><?xml version="1.0" encoding="utf-8"?>
<ds:datastoreItem xmlns:ds="http://schemas.openxmlformats.org/officeDocument/2006/customXml" ds:itemID="{53A29C1A-B684-405B-BEBA-B9F1B2F9A9F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