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f79646" w:space="0" w:sz="4" w:val="single"/>
          <w:insideV w:color="f79646" w:space="0" w:sz="4" w:val="single"/>
        </w:tblBorders>
        <w:tblLayout w:type="fixed"/>
        <w:tblLook w:val="0400"/>
      </w:tblPr>
      <w:tblGrid>
        <w:gridCol w:w="2714"/>
        <w:gridCol w:w="3015"/>
        <w:gridCol w:w="2868"/>
        <w:gridCol w:w="2868"/>
        <w:gridCol w:w="2868"/>
        <w:tblGridChange w:id="0">
          <w:tblGrid>
            <w:gridCol w:w="2714"/>
            <w:gridCol w:w="3015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eb5c37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Reconocer y valorar las lenguas de España y las variedades dialectales del español, con especial atención a la del propio territorio,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valora las lenguas de España y las variedades dialectales del español, con especial atención a la del propio territorio de forma excelente,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valora las lenguas de España y las variedades dialectales del español, con especial atención a la del propio territorio de forma correcta,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menudo reconoce y valora las lenguas de España y las variedades dialectales del español, con especial atención a la del propio territorio, a partir de la explicación de su desarrollo histórico y sociolingüístico y de la situación actual, aunque tiene dificultades para contrastar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reconocer y valorar las lenguas de España y las variedades dialectales del español a partir de la explicación de su desarrollo histórico y sociolingüístico y de la situación actual, ni contrastar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Cuestionar y refutar prejuicios y estereotipos lingüísticos adoptando una actitud de respeto y valoración de la riqueza cultural, lingüística y dialectal,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Cuestiona y refuta prejuicios y estereotipos lingüísticos adoptando una actitud de respeto y valoración de la riqueza cultural, lingüística y dialectal de forma sobresaliente,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Cuestiona y refuta prejuicios y estereotipos lingüísticos adoptando una actitud de respeto y valoración de la riqueza cultural, lingüística y dialectal de forma adecuada,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Cuestiona y refuta prejuicios y estereotipos lingüísticos adoptando una actitud de respeto y valoración de la riqueza cultural, lingüística y dialectal, aunque tiene dificultades para explorar y reflexionar en torno a los fenómenos del contacto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cuestionar y refutar prejuicios y estereotipos lingüísticos adoptando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Identificar el sentido global, la estructura, la información relevante y la intención del emisor de textos escritos y multimodales especializados, con especial atención a textos académicos y de los medios de comunicación, realizando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extraordinariamente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realizando las inferencias necesarias y con diferentes propósitos de lectura.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correctamente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realizando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forma básica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a veces realizando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Muestra dificultades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sin poder realizar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Valorar la forma y el contenido de textos complejos evaluando su calidad, la fiabilidad e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Valora excepcionalmente la forma y el contenido de textos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complejos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evaluando su calidad,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fiabilidad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Valora correctamente la forma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 el contenido de textos complejos evaluando su calidad, la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Valora de forma básica la forma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contenido de textos complejos evaluando su calidad, la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 es capaz de valorar la forma ni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contenido de textos complejos evaluando su calidad, la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Elaborar trabajos de investigación de manera autónoma,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</w:p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de investigación de manera autónoma y de forma notable,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correctamente trabajos de investigación de manera autónoma,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de investigación de manera autónoma pero de forma básica,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y tiene dificultades para adoptar un punto de vista crítico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elaborar trabajos de investigación de manera autónoma ni calibrar su fiabilidad y pertinencia en función de los objetivos de lectura; organizarla e integrarla en esquemas propios; ni reelaborarla y comunicarla de manera creativa.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91446</wp:posOffset>
          </wp:positionH>
          <wp:positionV relativeFrom="paragraph">
            <wp:posOffset>104138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24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UNIDAD 2. Rúbrica de evaluación</w:t>
    </w:r>
  </w:p>
  <w:p w:rsidR="00000000" w:rsidDel="00000000" w:rsidP="00000000" w:rsidRDefault="00000000" w:rsidRPr="00000000" w14:paraId="00000030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link w:val="Textdecomentari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u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decomentariCar" w:customStyle="1">
    <w:name w:val="Text de comentari Car"/>
    <w:basedOn w:val="Lletraperdefectedelpargraf"/>
    <w:link w:val="Textdecomentari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TemadelcomentariCar" w:customStyle="1">
    <w:name w:val="Tema del comentari Car"/>
    <w:basedOn w:val="TextdecomentariCar"/>
    <w:link w:val="Temadelcomentari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l8R91P6I2uSzjuGfnlMaH7dxw==">CgMxLjA4AHIhMVhSaWJzMk1IWXdQT3dHaFlLbG5BajMtMll5ODBoSlpI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E0CEF33-BEB3-441E-BAA4-C5D6F17D3C49}"/>
</file>

<file path=customXML/itemProps3.xml><?xml version="1.0" encoding="utf-8"?>
<ds:datastoreItem xmlns:ds="http://schemas.openxmlformats.org/officeDocument/2006/customXml" ds:itemID="{B92FA132-6774-44C1-943B-1B841257E742}"/>
</file>

<file path=customXML/itemProps4.xml><?xml version="1.0" encoding="utf-8"?>
<ds:datastoreItem xmlns:ds="http://schemas.openxmlformats.org/officeDocument/2006/customXml" ds:itemID="{59E16DAC-072D-4542-96F0-8990045F781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