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26"/>
        </w:tabs>
        <w:spacing w:before="200" w:lineRule="auto"/>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FICHA DE EVALUACIÓN DE RETO. UNIDAD 2</w:t>
      </w:r>
    </w:p>
    <w:tbl>
      <w:tblPr>
        <w:tblStyle w:val="Table1"/>
        <w:tblW w:w="963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20"/>
        <w:gridCol w:w="720"/>
        <w:gridCol w:w="750"/>
        <w:gridCol w:w="510"/>
        <w:gridCol w:w="120"/>
        <w:gridCol w:w="1530"/>
        <w:gridCol w:w="780"/>
        <w:gridCol w:w="750"/>
        <w:gridCol w:w="1515"/>
        <w:gridCol w:w="1335"/>
        <w:tblGridChange w:id="0">
          <w:tblGrid>
            <w:gridCol w:w="1620"/>
            <w:gridCol w:w="720"/>
            <w:gridCol w:w="750"/>
            <w:gridCol w:w="510"/>
            <w:gridCol w:w="120"/>
            <w:gridCol w:w="1530"/>
            <w:gridCol w:w="780"/>
            <w:gridCol w:w="750"/>
            <w:gridCol w:w="1515"/>
            <w:gridCol w:w="1335"/>
          </w:tblGrid>
        </w:tblGridChange>
      </w:tblGrid>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0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0C">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8"/>
            <w:tcBorders>
              <w:right w:color="9bbb59" w:space="0" w:sz="8" w:val="single"/>
            </w:tcBorders>
          </w:tcPr>
          <w:p w:rsidR="00000000" w:rsidDel="00000000" w:rsidP="00000000" w:rsidRDefault="00000000" w:rsidRPr="00000000" w14:paraId="0000000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Por hablar mal el latín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6">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8">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Bachillerato</w:t>
            </w:r>
          </w:p>
        </w:tc>
        <w:tc>
          <w:tcPr>
            <w:shd w:fill="fdeada" w:val="clear"/>
          </w:tcPr>
          <w:p w:rsidR="00000000" w:rsidDel="00000000" w:rsidP="00000000" w:rsidRDefault="00000000" w:rsidRPr="00000000" w14:paraId="0000001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Ciclo</w:t>
            </w:r>
          </w:p>
        </w:tc>
        <w:tc>
          <w:tcPr>
            <w:gridSpan w:val="2"/>
          </w:tcPr>
          <w:p w:rsidR="00000000" w:rsidDel="00000000" w:rsidP="00000000" w:rsidRDefault="00000000" w:rsidRPr="00000000" w14:paraId="0000001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Primero</w:t>
            </w:r>
          </w:p>
        </w:tc>
        <w:tc>
          <w:tcPr>
            <w:shd w:fill="fdeada" w:val="clear"/>
          </w:tcPr>
          <w:p w:rsidR="00000000" w:rsidDel="00000000" w:rsidP="00000000" w:rsidRDefault="00000000" w:rsidRPr="00000000" w14:paraId="0000001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Curso</w:t>
            </w:r>
          </w:p>
        </w:tc>
        <w:tc>
          <w:tcPr/>
          <w:p w:rsidR="00000000" w:rsidDel="00000000" w:rsidP="00000000" w:rsidRDefault="00000000" w:rsidRPr="00000000" w14:paraId="0000001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1º Bachillerato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8"/>
            <w:tcBorders>
              <w:right w:color="9bbb59" w:space="0" w:sz="8" w:val="single"/>
            </w:tcBorders>
          </w:tcPr>
          <w:p w:rsidR="00000000" w:rsidDel="00000000" w:rsidP="00000000" w:rsidRDefault="00000000" w:rsidRPr="00000000" w14:paraId="00000022">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Lengua castellana y literatura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A">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p>
        </w:tc>
        <w:tc>
          <w:tcPr>
            <w:gridSpan w:val="8"/>
            <w:tcBorders>
              <w:right w:color="9bbb59" w:space="0" w:sz="8" w:val="single"/>
            </w:tcBorders>
          </w:tcPr>
          <w:p w:rsidR="00000000" w:rsidDel="00000000" w:rsidP="00000000" w:rsidRDefault="00000000" w:rsidRPr="00000000" w14:paraId="0000002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propone trabajar por equipos para buscar los rasgos más significativos de la evolución del latín de cuatro lenguas de España: castellano, euskera, catalán y gallego, y realizar un estudio comparativo y una presentación visual.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p>
        </w:tc>
        <w:tc>
          <w:tcPr>
            <w:gridSpan w:val="8"/>
            <w:tcBorders>
              <w:right w:color="9bbb59" w:space="0" w:sz="8" w:val="single"/>
            </w:tcBorders>
          </w:tcPr>
          <w:p w:rsidR="00000000" w:rsidDel="00000000" w:rsidP="00000000" w:rsidRDefault="00000000" w:rsidRPr="00000000" w14:paraId="0000003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Educación artística</w:t>
            </w:r>
            <w:r w:rsidDel="00000000" w:rsidR="00000000" w:rsidRPr="00000000">
              <w:rPr>
                <w:rFonts w:ascii="Calibri" w:cs="Calibri" w:eastAsia="Calibri" w:hAnsi="Calibri"/>
                <w:color w:val="000000"/>
                <w:sz w:val="20"/>
                <w:szCs w:val="20"/>
                <w:rtl w:val="0"/>
              </w:rPr>
              <w:t xml:space="preserve">: vinculado al trabajo de creación de un álbum final.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E">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p>
        </w:tc>
        <w:tc>
          <w:tcPr>
            <w:gridSpan w:val="8"/>
            <w:tcBorders>
              <w:right w:color="9bbb59" w:space="0" w:sz="8" w:val="single"/>
            </w:tcBorders>
          </w:tcPr>
          <w:p w:rsidR="00000000" w:rsidDel="00000000" w:rsidP="00000000" w:rsidRDefault="00000000" w:rsidRPr="00000000" w14:paraId="00000040">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pretende que el alumnado sea capaz de realizar un estudio comparativo de las diferentes lenguas que conviven en España basándose en su historia. También que presente este estudio y pueda realizar una presentación final, audiovisual o en papel.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48">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8"/>
            <w:tcBorders>
              <w:right w:color="9bbb59" w:space="0" w:sz="8" w:val="single"/>
            </w:tcBorders>
          </w:tcPr>
          <w:p w:rsidR="00000000" w:rsidDel="00000000" w:rsidP="00000000" w:rsidRDefault="00000000" w:rsidRPr="00000000" w14:paraId="0000004A">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sesiones lectivas.</w:t>
            </w:r>
          </w:p>
        </w:tc>
      </w:tr>
      <w:tr>
        <w:trPr>
          <w:cantSplit w:val="0"/>
          <w:trHeight w:val="200" w:hRule="atLeast"/>
          <w:tblHeader w:val="0"/>
        </w:trPr>
        <w:tc>
          <w:tcPr>
            <w:gridSpan w:val="10"/>
            <w:tcBorders>
              <w:right w:color="9bbb59" w:space="0" w:sz="8" w:val="single"/>
            </w:tcBorders>
            <w:shd w:fill="e36c09" w:val="clear"/>
          </w:tcPr>
          <w:p w:rsidR="00000000" w:rsidDel="00000000" w:rsidP="00000000" w:rsidRDefault="00000000" w:rsidRPr="00000000" w14:paraId="0000005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5C">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ESO</w:t>
            </w:r>
          </w:p>
        </w:tc>
        <w:tc>
          <w:tcPr>
            <w:gridSpan w:val="8"/>
            <w:tcBorders>
              <w:right w:color="9bbb59" w:space="0" w:sz="8" w:val="single"/>
            </w:tcBorders>
          </w:tcPr>
          <w:p w:rsidR="00000000" w:rsidDel="00000000" w:rsidP="00000000" w:rsidRDefault="00000000" w:rsidRPr="00000000" w14:paraId="0000005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Lista de objetivos a trabajar:</w:t>
            </w:r>
          </w:p>
          <w:tbl>
            <w:tblPr>
              <w:tblStyle w:val="Table2"/>
              <w:tblW w:w="7050.000000000001" w:type="dxa"/>
              <w:jc w:val="left"/>
              <w:tblLayout w:type="fixed"/>
              <w:tblLook w:val="0400"/>
            </w:tblPr>
            <w:tblGrid>
              <w:gridCol w:w="470.984839147048"/>
              <w:gridCol w:w="470.11586342906446"/>
              <w:gridCol w:w="470.11586342906446"/>
              <w:gridCol w:w="470.11586342906446"/>
              <w:gridCol w:w="470.11586342906446"/>
              <w:gridCol w:w="470.11586342906446"/>
              <w:gridCol w:w="470.11586342906446"/>
              <w:gridCol w:w="470.11586342906446"/>
              <w:gridCol w:w="470.11586342906446"/>
              <w:gridCol w:w="470.11586342906446"/>
              <w:gridCol w:w="470.984839147048"/>
              <w:gridCol w:w="469.246887711081"/>
              <w:gridCol w:w="469.246887711081"/>
              <w:gridCol w:w="469.246887711081"/>
              <w:gridCol w:w="469.246887711081"/>
              <w:tblGridChange w:id="0">
                <w:tblGrid>
                  <w:gridCol w:w="470.984839147048"/>
                  <w:gridCol w:w="470.11586342906446"/>
                  <w:gridCol w:w="470.11586342906446"/>
                  <w:gridCol w:w="470.11586342906446"/>
                  <w:gridCol w:w="470.11586342906446"/>
                  <w:gridCol w:w="470.11586342906446"/>
                  <w:gridCol w:w="470.11586342906446"/>
                  <w:gridCol w:w="470.11586342906446"/>
                  <w:gridCol w:w="470.11586342906446"/>
                  <w:gridCol w:w="470.11586342906446"/>
                  <w:gridCol w:w="470.984839147048"/>
                  <w:gridCol w:w="469.246887711081"/>
                  <w:gridCol w:w="469.246887711081"/>
                  <w:gridCol w:w="469.246887711081"/>
                  <w:gridCol w:w="469.246887711081"/>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w:t>
                  </w:r>
                </w:p>
              </w:tc>
            </w:tr>
            <w:tr>
              <w:trPr>
                <w:cantSplit w:val="0"/>
                <w:tblHeader w:val="0"/>
              </w:trPr>
              <w:tc>
                <w:tcPr>
                  <w:tcBorders>
                    <w:right w:color="9bbb59" w:space="0" w:sz="8" w:val="single"/>
                  </w:tcBorders>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tcBorders>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tcBorders>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7D">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fdeada" w:val="clear"/>
            <w:vAlign w:val="center"/>
          </w:tcPr>
          <w:p w:rsidR="00000000" w:rsidDel="00000000" w:rsidP="00000000" w:rsidRDefault="00000000" w:rsidRPr="00000000" w14:paraId="00000085">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p>
        </w:tc>
        <w:tc>
          <w:tcPr>
            <w:gridSpan w:val="8"/>
            <w:tcBorders>
              <w:right w:color="9bbb59" w:space="0" w:sz="8" w:val="single"/>
            </w:tcBorders>
            <w:vAlign w:val="center"/>
          </w:tcPr>
          <w:p w:rsidR="00000000" w:rsidDel="00000000" w:rsidP="00000000" w:rsidRDefault="00000000" w:rsidRPr="00000000" w14:paraId="0000008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transversal si bien se puede ubicar en el saber básico:</w:t>
            </w:r>
          </w:p>
          <w:p w:rsidR="00000000" w:rsidDel="00000000" w:rsidP="00000000" w:rsidRDefault="00000000" w:rsidRPr="00000000" w14:paraId="00000088">
            <w:pPr>
              <w:numPr>
                <w:ilvl w:val="0"/>
                <w:numId w:val="1"/>
              </w:numPr>
              <w:spacing w:after="0" w:line="276" w:lineRule="auto"/>
              <w:ind w:left="2880"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La lengua y sus hablantes</w:t>
            </w:r>
          </w:p>
          <w:p w:rsidR="00000000" w:rsidDel="00000000" w:rsidP="00000000" w:rsidRDefault="00000000" w:rsidRPr="00000000" w14:paraId="00000089">
            <w:pPr>
              <w:numPr>
                <w:ilvl w:val="0"/>
                <w:numId w:val="1"/>
              </w:numPr>
              <w:spacing w:after="0" w:line="276" w:lineRule="auto"/>
              <w:ind w:left="2880"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Comunicación</w:t>
            </w:r>
          </w:p>
          <w:p w:rsidR="00000000" w:rsidDel="00000000" w:rsidP="00000000" w:rsidRDefault="00000000" w:rsidRPr="00000000" w14:paraId="0000008A">
            <w:pPr>
              <w:spacing w:after="0" w:line="276" w:lineRule="auto"/>
              <w:ind w:left="72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D.    Reflexión sobre la lengua</w:t>
            </w:r>
          </w:p>
          <w:p w:rsidR="00000000" w:rsidDel="00000000" w:rsidP="00000000" w:rsidRDefault="00000000" w:rsidRPr="00000000" w14:paraId="0000008B">
            <w:pPr>
              <w:spacing w:after="0" w:line="276"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shd w:fill="fdeada" w:val="clear"/>
            <w:vAlign w:val="center"/>
          </w:tcPr>
          <w:p w:rsidR="00000000" w:rsidDel="00000000" w:rsidP="00000000" w:rsidRDefault="00000000" w:rsidRPr="00000000" w14:paraId="0000009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fdeada" w:val="clear"/>
            <w:vAlign w:val="center"/>
          </w:tcPr>
          <w:p w:rsidR="00000000" w:rsidDel="00000000" w:rsidP="00000000" w:rsidRDefault="00000000" w:rsidRPr="00000000" w14:paraId="0000009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7"/>
            <w:tcBorders>
              <w:right w:color="9bbb59" w:space="0" w:sz="8" w:val="single"/>
            </w:tcBorders>
            <w:shd w:fill="fdeada" w:val="clear"/>
            <w:vAlign w:val="center"/>
          </w:tcPr>
          <w:p w:rsidR="00000000" w:rsidDel="00000000" w:rsidP="00000000" w:rsidRDefault="00000000" w:rsidRPr="00000000" w14:paraId="0000009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p>
        </w:tc>
      </w:tr>
      <w:tr>
        <w:trPr>
          <w:cantSplit w:val="0"/>
          <w:trHeight w:val="400" w:hRule="atLeast"/>
          <w:tblHeader w:val="0"/>
        </w:trPr>
        <w:tc>
          <w:tcPr>
            <w:vMerge w:val="restart"/>
            <w:vAlign w:val="center"/>
          </w:tcPr>
          <w:p w:rsidR="00000000" w:rsidDel="00000000" w:rsidP="00000000" w:rsidRDefault="00000000" w:rsidRPr="00000000" w14:paraId="0000009D">
            <w:pPr>
              <w:spacing w:after="6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gridSpan w:val="2"/>
            <w:vAlign w:val="center"/>
          </w:tcPr>
          <w:p w:rsidR="00000000" w:rsidDel="00000000" w:rsidP="00000000" w:rsidRDefault="00000000" w:rsidRPr="00000000" w14:paraId="0000009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gridSpan w:val="7"/>
            <w:vMerge w:val="restart"/>
            <w:tcBorders>
              <w:right w:color="9bbb59" w:space="0" w:sz="8" w:val="single"/>
            </w:tcBorders>
            <w:vAlign w:val="center"/>
          </w:tcPr>
          <w:p w:rsidR="00000000" w:rsidDel="00000000" w:rsidP="00000000" w:rsidRDefault="00000000" w:rsidRPr="00000000" w14:paraId="000000A0">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CCL5, CP2, CC1, CC2, CCEC1</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A8">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gridSpan w:val="7"/>
            <w:vMerge w:val="continue"/>
            <w:tcBorders>
              <w:right w:color="9bbb59" w:space="0" w:sz="8" w:val="single"/>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gridSpan w:val="2"/>
            <w:vAlign w:val="center"/>
          </w:tcPr>
          <w:p w:rsidR="00000000" w:rsidDel="00000000" w:rsidP="00000000" w:rsidRDefault="00000000" w:rsidRPr="00000000" w14:paraId="000000B2">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gridSpan w:val="7"/>
            <w:vMerge w:val="restart"/>
            <w:tcBorders>
              <w:right w:color="9bbb59" w:space="0" w:sz="8" w:val="single"/>
            </w:tcBorders>
            <w:vAlign w:val="center"/>
          </w:tcPr>
          <w:p w:rsidR="00000000" w:rsidDel="00000000" w:rsidP="00000000" w:rsidRDefault="00000000" w:rsidRPr="00000000" w14:paraId="000000B4">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CCL2, CCL3, CCL5, CP2, CD1, CPSAA4,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BC">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gridSpan w:val="7"/>
            <w:vMerge w:val="continue"/>
            <w:tcBorders>
              <w:right w:color="9bbb59" w:space="0" w:sz="8" w:val="single"/>
            </w:tcBorders>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Align w:val="cente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gridSpan w:val="2"/>
            <w:vAlign w:val="center"/>
          </w:tcPr>
          <w:p w:rsidR="00000000" w:rsidDel="00000000" w:rsidP="00000000" w:rsidRDefault="00000000" w:rsidRPr="00000000" w14:paraId="000000C6">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6.1</w:t>
            </w:r>
          </w:p>
        </w:tc>
        <w:tc>
          <w:tcPr>
            <w:gridSpan w:val="7"/>
            <w:tcBorders>
              <w:right w:color="9bbb59" w:space="0" w:sz="8" w:val="single"/>
            </w:tcBorders>
            <w:vAlign w:val="center"/>
          </w:tcPr>
          <w:p w:rsidR="00000000" w:rsidDel="00000000" w:rsidP="00000000" w:rsidRDefault="00000000" w:rsidRPr="00000000" w14:paraId="000000C8">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CCL3, CD1, CD2, CD3, CPSAA4, CC2, CE3</w:t>
            </w:r>
            <w:r w:rsidDel="00000000" w:rsidR="00000000" w:rsidRPr="00000000">
              <w:rPr>
                <w:rtl w:val="0"/>
              </w:rPr>
            </w:r>
          </w:p>
        </w:tc>
      </w:tr>
      <w:tr>
        <w:trPr>
          <w:cantSplit w:val="0"/>
          <w:trHeight w:val="454" w:hRule="atLeast"/>
          <w:tblHeader w:val="0"/>
        </w:trPr>
        <w:tc>
          <w:tcPr>
            <w:gridSpan w:val="2"/>
            <w:shd w:fill="fdeada" w:val="clear"/>
            <w:vAlign w:val="center"/>
          </w:tcPr>
          <w:p w:rsidR="00000000" w:rsidDel="00000000" w:rsidP="00000000" w:rsidRDefault="00000000" w:rsidRPr="00000000" w14:paraId="000000CF">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8"/>
            <w:tcBorders>
              <w:right w:color="9bbb59" w:space="0" w:sz="8" w:val="single"/>
            </w:tcBorders>
            <w:vAlign w:val="center"/>
          </w:tcPr>
          <w:p w:rsidR="00000000" w:rsidDel="00000000" w:rsidP="00000000" w:rsidRDefault="00000000" w:rsidRPr="00000000" w14:paraId="000000D1">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 EOE, CA, CD, CR, FE, RMCI.</w:t>
            </w:r>
          </w:p>
        </w:tc>
      </w:tr>
      <w:tr>
        <w:trPr>
          <w:cantSplit w:val="0"/>
          <w:trHeight w:val="200" w:hRule="atLeast"/>
          <w:tblHeader w:val="0"/>
        </w:trPr>
        <w:tc>
          <w:tcPr>
            <w:gridSpan w:val="2"/>
            <w:shd w:fill="fdeada" w:val="clear"/>
          </w:tcPr>
          <w:p w:rsidR="00000000" w:rsidDel="00000000" w:rsidP="00000000" w:rsidRDefault="00000000" w:rsidRPr="00000000" w14:paraId="000000D9">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8"/>
            <w:tcBorders>
              <w:right w:color="9bbb59" w:space="0" w:sz="8" w:val="single"/>
            </w:tcBorders>
            <w:vAlign w:val="center"/>
          </w:tcPr>
          <w:p w:rsidR="00000000" w:rsidDel="00000000" w:rsidP="00000000" w:rsidRDefault="00000000" w:rsidRPr="00000000" w14:paraId="000000DB">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se relaciona con ningún ODS específico.</w:t>
            </w:r>
          </w:p>
        </w:tc>
      </w:tr>
      <w:tr>
        <w:trPr>
          <w:cantSplit w:val="0"/>
          <w:trHeight w:val="200" w:hRule="atLeast"/>
          <w:tblHeader w:val="0"/>
        </w:trPr>
        <w:tc>
          <w:tcPr>
            <w:gridSpan w:val="10"/>
            <w:tcBorders>
              <w:right w:color="9bbb59" w:space="0" w:sz="8" w:val="single"/>
            </w:tcBorders>
            <w:shd w:fill="e36c09" w:val="clear"/>
            <w:vAlign w:val="center"/>
          </w:tcPr>
          <w:p w:rsidR="00000000" w:rsidDel="00000000" w:rsidP="00000000" w:rsidRDefault="00000000" w:rsidRPr="00000000" w14:paraId="000000E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fdeada" w:val="clear"/>
            <w:vAlign w:val="center"/>
          </w:tcPr>
          <w:p w:rsidR="00000000" w:rsidDel="00000000" w:rsidP="00000000" w:rsidRDefault="00000000" w:rsidRPr="00000000" w14:paraId="000000E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5"/>
            <w:shd w:fill="fdeada" w:val="clear"/>
          </w:tcPr>
          <w:p w:rsidR="00000000" w:rsidDel="00000000" w:rsidP="00000000" w:rsidRDefault="00000000" w:rsidRPr="00000000" w14:paraId="000000EF">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p>
        </w:tc>
        <w:tc>
          <w:tcPr>
            <w:gridSpan w:val="3"/>
            <w:tcBorders>
              <w:right w:color="9bbb59" w:space="0" w:sz="8" w:val="single"/>
            </w:tcBorders>
            <w:shd w:fill="fdeada" w:val="clear"/>
          </w:tcPr>
          <w:p w:rsidR="00000000" w:rsidDel="00000000" w:rsidP="00000000" w:rsidRDefault="00000000" w:rsidRPr="00000000" w14:paraId="000000F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fdeada"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5"/>
          </w:tcPr>
          <w:p w:rsidR="00000000" w:rsidDel="00000000" w:rsidP="00000000" w:rsidRDefault="00000000" w:rsidRPr="00000000" w14:paraId="000000F9">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Libro de texto, libreta y bolígrafo, ordenadores y/o portátiles con acceso a Internet, el Diccionario de la Lengua Española en su edición digital, material para realizar un álbum visual.</w:t>
            </w:r>
          </w:p>
        </w:tc>
        <w:tc>
          <w:tcPr>
            <w:gridSpan w:val="3"/>
            <w:tcBorders>
              <w:right w:color="9bbb59" w:space="0" w:sz="8" w:val="single"/>
            </w:tcBorders>
          </w:tcPr>
          <w:p w:rsidR="00000000" w:rsidDel="00000000" w:rsidP="00000000" w:rsidRDefault="00000000" w:rsidRPr="00000000" w14:paraId="000000F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2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Por hablar mal el latín.</w:t>
            </w:r>
          </w:p>
        </w:tc>
      </w:tr>
      <w:tr>
        <w:trPr>
          <w:cantSplit w:val="0"/>
          <w:trHeight w:val="220" w:hRule="atLeast"/>
          <w:tblHeader w:val="0"/>
        </w:trPr>
        <w:tc>
          <w:tcPr>
            <w:gridSpan w:val="2"/>
            <w:shd w:fill="fdeada" w:val="clear"/>
            <w:vAlign w:val="center"/>
          </w:tcPr>
          <w:p w:rsidR="00000000" w:rsidDel="00000000" w:rsidP="00000000" w:rsidRDefault="00000000" w:rsidRPr="00000000" w14:paraId="0000010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5"/>
          </w:tcPr>
          <w:p w:rsidR="00000000" w:rsidDel="00000000" w:rsidP="00000000" w:rsidRDefault="00000000" w:rsidRPr="00000000" w14:paraId="00000103">
            <w:pPr>
              <w:numPr>
                <w:ilvl w:val="0"/>
                <w:numId w:val="3"/>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Exposición docente.</w:t>
            </w:r>
          </w:p>
          <w:p w:rsidR="00000000" w:rsidDel="00000000" w:rsidP="00000000" w:rsidRDefault="00000000" w:rsidRPr="00000000" w14:paraId="00000104">
            <w:pPr>
              <w:numPr>
                <w:ilvl w:val="0"/>
                <w:numId w:val="3"/>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en equipos.</w:t>
            </w:r>
          </w:p>
          <w:p w:rsidR="00000000" w:rsidDel="00000000" w:rsidP="00000000" w:rsidRDefault="00000000" w:rsidRPr="00000000" w14:paraId="00000105">
            <w:pPr>
              <w:numPr>
                <w:ilvl w:val="0"/>
                <w:numId w:val="3"/>
              </w:numPr>
              <w:spacing w:after="60" w:before="60" w:lineRule="auto"/>
              <w:ind w:left="459"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Trabajo en común todos los equipos.</w:t>
            </w:r>
          </w:p>
        </w:tc>
        <w:tc>
          <w:tcPr>
            <w:gridSpan w:val="3"/>
            <w:tcBorders>
              <w:right w:color="9bbb59" w:space="0" w:sz="8" w:val="single"/>
            </w:tcBorders>
            <w:vAlign w:val="center"/>
          </w:tcPr>
          <w:p w:rsidR="00000000" w:rsidDel="00000000" w:rsidP="00000000" w:rsidRDefault="00000000" w:rsidRPr="00000000" w14:paraId="0000010A">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Investigación.</w:t>
            </w:r>
          </w:p>
          <w:p w:rsidR="00000000" w:rsidDel="00000000" w:rsidP="00000000" w:rsidRDefault="00000000" w:rsidRPr="00000000" w14:paraId="0000010B">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Realización del estudio comparativo.</w:t>
            </w:r>
          </w:p>
          <w:p w:rsidR="00000000" w:rsidDel="00000000" w:rsidP="00000000" w:rsidRDefault="00000000" w:rsidRPr="00000000" w14:paraId="0000010C">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Creación de álbum o blog del proyecto.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0F">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5"/>
          </w:tcPr>
          <w:p w:rsidR="00000000" w:rsidDel="00000000" w:rsidP="00000000" w:rsidRDefault="00000000" w:rsidRPr="00000000" w14:paraId="00000111">
            <w:pPr>
              <w:numPr>
                <w:ilvl w:val="0"/>
                <w:numId w:val="4"/>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tc>
        <w:tc>
          <w:tcPr>
            <w:gridSpan w:val="3"/>
            <w:tcBorders>
              <w:right w:color="9bbb59" w:space="0" w:sz="8" w:val="single"/>
            </w:tcBorders>
          </w:tcPr>
          <w:p w:rsidR="00000000" w:rsidDel="00000000" w:rsidP="00000000" w:rsidRDefault="00000000" w:rsidRPr="00000000" w14:paraId="00000116">
            <w:pPr>
              <w:numPr>
                <w:ilvl w:val="0"/>
                <w:numId w:val="4"/>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fuera del centro.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19">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p>
        </w:tc>
        <w:tc>
          <w:tcPr>
            <w:gridSpan w:val="8"/>
            <w:tcBorders>
              <w:right w:color="9bbb59" w:space="0" w:sz="8" w:val="single"/>
            </w:tcBorders>
          </w:tcPr>
          <w:p w:rsidR="00000000" w:rsidDel="00000000" w:rsidP="00000000" w:rsidRDefault="00000000" w:rsidRPr="00000000" w14:paraId="0000011B">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Grupos de seis a ocho miembros.</w:t>
            </w:r>
          </w:p>
        </w:tc>
      </w:tr>
      <w:tr>
        <w:trPr>
          <w:cantSplit w:val="0"/>
          <w:trHeight w:val="200" w:hRule="atLeast"/>
          <w:tblHeader w:val="0"/>
        </w:trPr>
        <w:tc>
          <w:tcPr>
            <w:gridSpan w:val="2"/>
            <w:vMerge w:val="restart"/>
            <w:tcBorders>
              <w:bottom w:color="9bbb59" w:space="0" w:sz="8" w:val="single"/>
            </w:tcBorders>
            <w:shd w:fill="fdeada" w:val="clear"/>
            <w:vAlign w:val="cente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Atención a la diversidad</w:t>
            </w:r>
            <w:r w:rsidDel="00000000" w:rsidR="00000000" w:rsidRPr="00000000">
              <w:rPr>
                <w:rFonts w:ascii="Calibri" w:cs="Calibri" w:eastAsia="Calibri" w:hAnsi="Calibri"/>
                <w:color w:val="000000"/>
                <w:sz w:val="20"/>
                <w:szCs w:val="20"/>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Refuerzo</w:t>
            </w:r>
          </w:p>
        </w:tc>
        <w:tc>
          <w:tcPr>
            <w:gridSpan w:val="6"/>
            <w:tcBorders>
              <w:right w:color="9bbb59" w:space="0" w:sz="8" w:val="single"/>
            </w:tcBorders>
            <w:vAlign w:val="center"/>
          </w:tcPr>
          <w:p w:rsidR="00000000" w:rsidDel="00000000" w:rsidP="00000000" w:rsidRDefault="00000000" w:rsidRPr="00000000" w14:paraId="00000127">
            <w:pPr>
              <w:widowControl w:val="0"/>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proporcionarán enunciados e imágenes simplificadas.</w:t>
            </w:r>
          </w:p>
        </w:tc>
      </w:tr>
      <w:tr>
        <w:trPr>
          <w:cantSplit w:val="0"/>
          <w:trHeight w:val="200" w:hRule="atLeast"/>
          <w:tblHeader w:val="0"/>
        </w:trPr>
        <w:tc>
          <w:tcPr>
            <w:gridSpan w:val="2"/>
            <w:vMerge w:val="continue"/>
            <w:tcBorders>
              <w:bottom w:color="9bbb59" w:space="0" w:sz="8" w:val="single"/>
            </w:tcBorders>
            <w:shd w:fill="fdeada" w:val="clea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tabs>
                <w:tab w:val="left" w:leader="none" w:pos="595"/>
                <w:tab w:val="left" w:leader="none" w:pos="3146"/>
              </w:tabs>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Ampliación</w:t>
            </w:r>
          </w:p>
        </w:tc>
        <w:tc>
          <w:tcPr>
            <w:gridSpan w:val="6"/>
            <w:tcBorders>
              <w:right w:color="9bbb59" w:space="0" w:sz="8" w:val="single"/>
            </w:tcBorders>
            <w:vAlign w:val="center"/>
          </w:tcPr>
          <w:p w:rsidR="00000000" w:rsidDel="00000000" w:rsidP="00000000" w:rsidRDefault="00000000" w:rsidRPr="00000000" w14:paraId="00000131">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Actividades de mayor complejidad.</w:t>
            </w:r>
          </w:p>
        </w:tc>
      </w:tr>
    </w:tbl>
    <w:p w:rsidR="00000000" w:rsidDel="00000000" w:rsidP="00000000" w:rsidRDefault="00000000" w:rsidRPr="00000000" w14:paraId="00000137">
      <w:pPr>
        <w:tabs>
          <w:tab w:val="left" w:leader="none" w:pos="3268"/>
        </w:tabs>
        <w:rPr/>
      </w:pPr>
      <w:r w:rsidDel="00000000" w:rsidR="00000000" w:rsidRPr="00000000">
        <w:rPr>
          <w:rtl w:val="0"/>
        </w:rPr>
      </w:r>
    </w:p>
    <w:p w:rsidR="00000000" w:rsidDel="00000000" w:rsidP="00000000" w:rsidRDefault="00000000" w:rsidRPr="00000000" w14:paraId="00000138">
      <w:pP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39">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3A">
      <w:pPr>
        <w:keepNext w:val="1"/>
        <w:pBdr>
          <w:top w:space="0" w:sz="0" w:val="nil"/>
          <w:left w:space="0" w:sz="0" w:val="nil"/>
          <w:bottom w:space="0" w:sz="0" w:val="nil"/>
          <w:right w:space="0" w:sz="0" w:val="nil"/>
          <w:between w:space="0" w:sz="0" w:val="nil"/>
        </w:pBdr>
        <w:spacing w:after="80" w:before="240" w:line="320" w:lineRule="auto"/>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ELEMENTOS TRANSVERSALES</w:t>
      </w:r>
    </w:p>
    <w:p w:rsidR="00000000" w:rsidDel="00000000" w:rsidP="00000000" w:rsidRDefault="00000000" w:rsidRPr="00000000" w14:paraId="0000013B">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3C">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3D">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3E">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F">
            <w:pPr>
              <w:spacing w:after="40" w:before="40" w:line="276" w:lineRule="auto"/>
              <w:rPr>
                <w:rFonts w:ascii="Calibri" w:cs="Calibri" w:eastAsia="Calibri" w:hAnsi="Calibri"/>
                <w:color w:val="000000"/>
              </w:rPr>
            </w:pPr>
            <w:bookmarkStart w:colFirst="0" w:colLast="0" w:name="_heading=h.4d34og8" w:id="0"/>
            <w:bookmarkEnd w:id="0"/>
            <w:r w:rsidDel="00000000" w:rsidR="00000000" w:rsidRPr="00000000">
              <w:rPr>
                <w:rFonts w:ascii="Calibri" w:cs="Calibri" w:eastAsia="Calibri" w:hAnsi="Calibri"/>
                <w:color w:val="000000"/>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9">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A">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B">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C">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8">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RMCI</w:t>
            </w:r>
          </w:p>
        </w:tc>
      </w:tr>
    </w:tbl>
    <w:p w:rsidR="00000000" w:rsidDel="00000000" w:rsidP="00000000" w:rsidRDefault="00000000" w:rsidRPr="00000000" w14:paraId="00000159">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listado de elementos transversales así como la nomenclatura utilizada se detallan en el Anexo I.</w:t>
      </w:r>
    </w:p>
  </w:footnote>
  <w:footnote w:id="1">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360" w:lineRule="auto"/>
      <w:jc w:val="left"/>
    </w:pPr>
    <w:rPr>
      <w:b w:val="1"/>
      <w:bCs w:val="1"/>
      <w:color w:val="000000"/>
      <w:sz w:val="36"/>
      <w:szCs w:val="36"/>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80" w:before="240" w:line="320" w:lineRule="auto"/>
      <w:jc w:val="left"/>
    </w:pPr>
    <w:rPr>
      <w:b w:val="1"/>
      <w:bCs w:val="1"/>
      <w:color w:val="00000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40" w:before="240" w:line="280" w:lineRule="auto"/>
      <w:jc w:val="left"/>
    </w:pPr>
    <w:rPr>
      <w:b w:val="1"/>
      <w:bCs w:val="1"/>
      <w:color w:val="000000"/>
      <w:sz w:val="24"/>
      <w:szCs w:val="24"/>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tabs>
        <w:tab w:val="left" w:leader="none" w:pos="-720"/>
      </w:tabs>
      <w:spacing w:after="0" w:line="312" w:lineRule="auto"/>
    </w:pPr>
    <w:rPr>
      <w:rFonts w:ascii="Comic Sans MS" w:cs="Comic Sans MS" w:eastAsia="Comic Sans MS" w:hAnsi="Comic Sans MS"/>
      <w:b w:val="1"/>
      <w:bCs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SRA Serif 1.1" w:cs="SRA Serif 1.1" w:eastAsia="SRA Serif 1.1" w:hAnsi="SRA Serif 1.1"/>
      <w:b w:val="1"/>
      <w:bCs w:val="1"/>
      <w:color w:val="000000"/>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rPr>
      <w:color w:val="5f497a"/>
      <w:sz w:val="22"/>
      <w:szCs w:val="22"/>
    </w:rPr>
    <w:tblPr>
      <w:tblStyleRowBandSize w:val="1"/>
      <w:tblStyleColBandSize w:val="1"/>
      <w:tblCellMar>
        <w:top w:w="100.0" w:type="dxa"/>
        <w:left w:w="100.0" w:type="dxa"/>
        <w:bottom w:w="100.0" w:type="dxa"/>
        <w:right w:w="100.0" w:type="dxa"/>
      </w:tblCellMar>
    </w:tblPr>
    <w:tcPr>
      <w:shd w:color="auto" w:fill="auto" w:val="clear"/>
    </w:tcPr>
  </w:style>
  <w:style w:type="table" w:styleId="a0"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a1"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Pr>
  </w:style>
  <w:style w:type="table" w:styleId="Table3">
    <w:basedOn w:val="TableNormal"/>
    <w:rPr>
      <w:color w:val="5f497a"/>
      <w:sz w:val="22"/>
      <w:szCs w:val="22"/>
    </w:rPr>
    <w:tblPr>
      <w:tblStyleRowBandSize w:val="1"/>
      <w:tblStyleColBandSize w:val="1"/>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SRA Serif 1.1" w:cs="SRA Serif 1.1" w:eastAsia="SRA Serif 1.1" w:hAnsi="SRA Serif 1.1"/>
      <w:color w:val="000000"/>
      <w:sz w:val="24"/>
      <w:szCs w:val="24"/>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GVI/8w+akknoTIUUNCbsn60bQ==">CgMxLjAyCWguNGQzNG9nODgAciExbmxYLTk1dmZoQ1QwS1diNmpxVUJiQTBueGI5RzNDbVg=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60E8AFF-88DC-43D7-A05B-C303178E20D3}"/>
</file>

<file path=customXML/itemProps3.xml><?xml version="1.0" encoding="utf-8"?>
<ds:datastoreItem xmlns:ds="http://schemas.openxmlformats.org/officeDocument/2006/customXml" ds:itemID="{772125E0-744F-45CD-ACFD-EDF38B59CC77}"/>
</file>

<file path=customXML/itemProps4.xml><?xml version="1.0" encoding="utf-8"?>
<ds:datastoreItem xmlns:ds="http://schemas.openxmlformats.org/officeDocument/2006/customXml" ds:itemID="{C29EB930-A6D9-41EE-B310-FA3B7AA6044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