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8.0" w:type="dxa"/>
        <w:jc w:val="lef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000"/>
      </w:tblPr>
      <w:tblGrid>
        <w:gridCol w:w="7503"/>
        <w:gridCol w:w="7005"/>
        <w:tblGridChange w:id="0">
          <w:tblGrid>
            <w:gridCol w:w="7503"/>
            <w:gridCol w:w="7005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gridSpan w:val="2"/>
            <w:tcBorders>
              <w:top w:color="800000" w:space="0" w:sz="18" w:val="single"/>
              <w:left w:color="800000" w:space="0" w:sz="8" w:val="single"/>
              <w:bottom w:color="800000" w:space="0" w:sz="18" w:val="single"/>
              <w:right w:color="4472c4" w:space="0" w:sz="8" w:val="single"/>
            </w:tcBorders>
            <w:shd w:fill="cd94b4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UNIDAD 1 - FILOSOFÍA: PENSAR PARA VIVIR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72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800000" w:space="0" w:sz="18" w:val="single"/>
              <w:left w:color="800000" w:space="0" w:sz="8" w:val="single"/>
              <w:bottom w:color="800000" w:space="0" w:sz="4" w:val="single"/>
              <w:right w:color="800000" w:space="0" w:sz="8" w:val="single"/>
            </w:tcBorders>
            <w:shd w:fill="cd94b4" w:val="clear"/>
            <w:vAlign w:val="center"/>
          </w:tcPr>
          <w:p w:rsidR="00000000" w:rsidDel="00000000" w:rsidP="00000000" w:rsidRDefault="00000000" w:rsidRPr="00000000" w14:paraId="00000006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OBJETIVOS DE UNIDAD</w:t>
            </w:r>
          </w:p>
        </w:tc>
        <w:tc>
          <w:tcPr>
            <w:tcBorders>
              <w:top w:color="800000" w:space="0" w:sz="18" w:val="single"/>
              <w:left w:color="800000" w:space="0" w:sz="8" w:val="single"/>
              <w:bottom w:color="800000" w:space="0" w:sz="4" w:val="single"/>
              <w:right w:color="800000" w:space="0" w:sz="8" w:val="single"/>
            </w:tcBorders>
            <w:shd w:fill="cd94b4" w:val="clear"/>
            <w:vAlign w:val="center"/>
          </w:tcPr>
          <w:p w:rsidR="00000000" w:rsidDel="00000000" w:rsidP="00000000" w:rsidRDefault="00000000" w:rsidRPr="00000000" w14:paraId="00000007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rtl w:val="0"/>
              </w:rPr>
              <w:t xml:space="preserve">COMPETENCIAS CLAVE (CCC) DE UNIDAD</w:t>
            </w:r>
          </w:p>
        </w:tc>
      </w:tr>
      <w:tr>
        <w:trPr>
          <w:cantSplit w:val="0"/>
          <w:trHeight w:val="2932" w:hRule="atLeast"/>
          <w:tblHeader w:val="0"/>
        </w:trPr>
        <w:tc>
          <w:tcPr>
            <w:tcBorders>
              <w:top w:color="800000" w:space="0" w:sz="4" w:val="single"/>
              <w:left w:color="800000" w:space="0" w:sz="8" w:val="single"/>
              <w:bottom w:color="800000" w:space="0" w:sz="18" w:val="single"/>
              <w:right w:color="8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240" w:lineRule="auto"/>
              <w:jc w:val="left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1. Ejercer la ciudadanía democrática, desde una perspectiva global, y adquirir una conciencia cívica responsable, inspirada por los valores de la Constitución Española, así como por los derechos humanos, que fomente la corresponsabilidad en la construcción de una sociedad justa y equitativa.</w:t>
            </w:r>
          </w:p>
          <w:p w:rsidR="00000000" w:rsidDel="00000000" w:rsidP="00000000" w:rsidRDefault="00000000" w:rsidRPr="00000000" w14:paraId="00000009">
            <w:pPr>
              <w:spacing w:after="0" w:before="240" w:lineRule="auto"/>
              <w:jc w:val="left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2. Consolidar una madurez personal, afectiva sexual y social que le permita actuar de manera respetuosa, responsable y autónoma y desarrollar el espíritu crítico. Prever, detectar y resolver pacíficamente los conflictos personales, familiares y sociales, así como las posibles situaciones de violencia.</w:t>
            </w:r>
          </w:p>
          <w:p w:rsidR="00000000" w:rsidDel="00000000" w:rsidP="00000000" w:rsidRDefault="00000000" w:rsidRPr="00000000" w14:paraId="0000000A">
            <w:pPr>
              <w:spacing w:after="0" w:before="240" w:lineRule="auto"/>
              <w:jc w:val="left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3. Fomentar la igualdad efectiva de derechos y oportunidades de mujeres y hombres, analizar y valorar críticamente las desigualdades existentes, así como el reconocimiento y enseñanza del papel de las mujeres en la historia e impulsar la igualdad real y la no discriminación por razón de nacimiento, sexo, origen racial o étnico, discapacidad, edad, enfermedad, religión o creencias, orientación sexual o identidad de género, o cualquier otra condición o circunstancia personal o social.</w:t>
            </w:r>
          </w:p>
          <w:p w:rsidR="00000000" w:rsidDel="00000000" w:rsidP="00000000" w:rsidRDefault="00000000" w:rsidRPr="00000000" w14:paraId="0000000B">
            <w:pPr>
              <w:spacing w:after="0" w:before="240" w:lineRule="auto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4. Afianzar los hábitos de lectura, estudio y disciplina como condiciones necesarias para el eficaz aprovechamiento del aprendizaje, y como medio de desarrollo personal.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240" w:lineRule="auto"/>
              <w:jc w:val="left"/>
              <w:rPr>
                <w:rFonts w:ascii="Calibri" w:cs="Calibri" w:eastAsia="Calibri" w:hAnsi="Calibri"/>
                <w:color w:val="333333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highlight w:val="white"/>
                <w:rtl w:val="0"/>
              </w:rPr>
              <w:t xml:space="preserve">7. Utilizar con solvencia y responsabilidad las tecnologías de la información y la comunicación.</w:t>
            </w:r>
          </w:p>
          <w:p w:rsidR="00000000" w:rsidDel="00000000" w:rsidP="00000000" w:rsidRDefault="00000000" w:rsidRPr="00000000" w14:paraId="0000000D">
            <w:pPr>
              <w:spacing w:after="0" w:before="240" w:lineRule="auto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0000" w:space="0" w:sz="4" w:val="single"/>
              <w:left w:color="800000" w:space="0" w:sz="4" w:val="single"/>
              <w:bottom w:color="800000" w:space="0" w:sz="18" w:val="single"/>
              <w:right w:color="8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83"/>
              </w:tabs>
              <w:spacing w:after="0" w:lineRule="auto"/>
              <w:ind w:left="72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en comunicación lingüística.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matemática y competencia en ciencia, tecnología e ingeniería.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digital.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personal, social y de aprender a aprender.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ciudadana.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emprendedora.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before="120" w:line="259" w:lineRule="auto"/>
              <w:ind w:left="714" w:hanging="35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Competencia en conciencia y expresión culturales.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800000" w:space="0" w:sz="18" w:val="single"/>
              <w:left w:color="800000" w:space="0" w:sz="8" w:val="single"/>
              <w:bottom w:color="800000" w:space="0" w:sz="4" w:val="single"/>
              <w:right w:color="4472c4" w:space="0" w:sz="8" w:val="single"/>
            </w:tcBorders>
            <w:shd w:fill="cd94b4" w:val="clear"/>
          </w:tcPr>
          <w:p w:rsidR="00000000" w:rsidDel="00000000" w:rsidP="00000000" w:rsidRDefault="00000000" w:rsidRPr="00000000" w14:paraId="00000017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TEMPORALIZACIÓN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tcBorders>
              <w:top w:color="800000" w:space="0" w:sz="4" w:val="single"/>
              <w:left w:color="800000" w:space="0" w:sz="8" w:val="single"/>
              <w:bottom w:color="800000" w:space="0" w:sz="4" w:val="single"/>
              <w:right w:color="4472c4" w:space="0" w:sz="8" w:val="single"/>
            </w:tcBorders>
          </w:tcPr>
          <w:p w:rsidR="00000000" w:rsidDel="00000000" w:rsidP="00000000" w:rsidRDefault="00000000" w:rsidRPr="00000000" w14:paraId="00000019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12 sesiones lectivas dentro del primer trimestre</w:t>
            </w:r>
          </w:p>
        </w:tc>
      </w:tr>
    </w:tbl>
    <w:p w:rsidR="00000000" w:rsidDel="00000000" w:rsidP="00000000" w:rsidRDefault="00000000" w:rsidRPr="00000000" w14:paraId="0000001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70.0" w:type="dxa"/>
        <w:jc w:val="left"/>
        <w:tblInd w:w="-1026.0" w:type="dxa"/>
        <w:tblBorders>
          <w:top w:color="385623" w:space="0" w:sz="8" w:val="single"/>
          <w:left w:color="385623" w:space="0" w:sz="8" w:val="single"/>
          <w:bottom w:color="385623" w:space="0" w:sz="8" w:val="single"/>
          <w:right w:color="385623" w:space="0" w:sz="8" w:val="single"/>
          <w:insideH w:color="385623" w:space="0" w:sz="8" w:val="single"/>
          <w:insideV w:color="385623" w:space="0" w:sz="8" w:val="single"/>
        </w:tblBorders>
        <w:tblLayout w:type="fixed"/>
        <w:tblLook w:val="0000"/>
      </w:tblPr>
      <w:tblGrid>
        <w:gridCol w:w="2550"/>
        <w:gridCol w:w="3180"/>
        <w:gridCol w:w="3090"/>
        <w:gridCol w:w="1710"/>
        <w:gridCol w:w="2430"/>
        <w:gridCol w:w="2910"/>
        <w:tblGridChange w:id="0">
          <w:tblGrid>
            <w:gridCol w:w="2550"/>
            <w:gridCol w:w="3180"/>
            <w:gridCol w:w="3090"/>
            <w:gridCol w:w="1710"/>
            <w:gridCol w:w="2430"/>
            <w:gridCol w:w="29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6"/>
            <w:shd w:fill="cd94b4" w:val="clear"/>
          </w:tcPr>
          <w:p w:rsidR="00000000" w:rsidDel="00000000" w:rsidP="00000000" w:rsidRDefault="00000000" w:rsidRPr="00000000" w14:paraId="0000001F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UNIDAD 1.  PENSAR PARA VIVIR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Saberes básicos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6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Competencias específicas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7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Criterios de evaluación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8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Descriptores de perfil de salida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Relación con los epígrafes de la unidad McGraw-Hill</w:t>
            </w:r>
          </w:p>
        </w:tc>
        <w:tc>
          <w:tcPr>
            <w:shd w:fill="cd94b4" w:val="clear"/>
            <w:vAlign w:val="center"/>
          </w:tcPr>
          <w:p w:rsidR="00000000" w:rsidDel="00000000" w:rsidP="00000000" w:rsidRDefault="00000000" w:rsidRPr="00000000" w14:paraId="0000002A">
            <w:pPr>
              <w:spacing w:after="20" w:before="20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Actividades de la unidad en relación a los descriptores de perfil de salida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Persona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Especificidad del saber filosófico y sus métodos. 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El ser humano como problema filosófico. 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Antropología filosófica: cultura, etnocentrismo, relativismo cultural y decolonización. 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 El problema de la identidad personal. Identidad digital, inteligencia artificial y transhumanismo.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Identificar problemas y formular preguntas relacionadas con la existencia de los seres humanos y su capacidad de razonar y actuar, desde la especificidad y radicalidad de la perspectiva filosófica.</w:t>
            </w:r>
          </w:p>
          <w:p w:rsidR="00000000" w:rsidDel="00000000" w:rsidP="00000000" w:rsidRDefault="00000000" w:rsidRPr="00000000" w14:paraId="0000003F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Utilizar criterios de búsqueda, selección y análisis de información referida a cuestiones filosóficas desde una actitud reflexiva, autónoma, rigurosa y creativa. </w:t>
            </w:r>
          </w:p>
          <w:p w:rsidR="00000000" w:rsidDel="00000000" w:rsidP="00000000" w:rsidRDefault="00000000" w:rsidRPr="00000000" w14:paraId="00000041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Practicar el diálogo y debate filosóficos de manera rigurosa, crítica y asertiva, utilizando de forma adecuada los diferentes tipos de argumentación y detectando los usos falaces, dogmáticos y sesgados en la defensa de opiniones e hipótesis. </w:t>
            </w:r>
          </w:p>
          <w:p w:rsidR="00000000" w:rsidDel="00000000" w:rsidP="00000000" w:rsidRDefault="00000000" w:rsidRPr="00000000" w14:paraId="00000049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before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Analizar críticamente y cuestionar la legitimidad de las ideas, valores y concepciones del mundo canónicas y dar visibilidad a aquellas que no se han atendido.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 Diferenciar los problemas específicamente filosóficos de los que no lo son y explicar sus características y su alcance.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 Utilizar criterios de búsqueda y selección de información fiables, comparando diferentes fuentes.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 Analizar de forma crítica la información encontrada para comprobar su veracidad.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 Exponer de forma rigurosa y autónoma el resultado de la búsqueda, las posiciones respecto a problemas filosóficos y las reflexiones que se producen a raíz de la elaboración de la información.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3.1 Participar en los debates de manera asertiva, escuchando de forma activa y respetando el turno de palabra tanto al aportar argumentos como al exponer acuerdo o desacuerdo. 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3.3 Utilizar los conceptos y los argumentos de forma rigurosa para exponer ideas propias y razonamientos y para aclarar las dudas y malentendidos que se planteen.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7.1. Analizar críticamente la relación entre ideas, valores y concepciones del mundo. 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7.2. Identificar, visibilizar y explicar ideas, valores y concepciones de la realidad que han sido históricamente silenciadas, relegadas u ocultadas.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7.3. Comparar y explicar las diferencias entre las ideas y valores que han sido silenciadas y aquellas consideradas como canónicas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CPSAA1.2, CC1, CC3, CCEC1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STEM1, CD1, CD3, CPSAA4, CC3, CE3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CCL5, STEM1, CPSAA3.1, CC2, CC3, CCEC1, CCEC3.2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CC1, CC3, CCEC2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0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91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El origen y la definición de la filosofía</w:t>
            </w:r>
          </w:p>
          <w:p w:rsidR="00000000" w:rsidDel="00000000" w:rsidP="00000000" w:rsidRDefault="00000000" w:rsidRPr="00000000" w14:paraId="00000093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Las herramientas del saber filosófico</w:t>
            </w:r>
          </w:p>
          <w:p w:rsidR="00000000" w:rsidDel="00000000" w:rsidP="00000000" w:rsidRDefault="00000000" w:rsidRPr="00000000" w14:paraId="00000095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La filosofía desde un punto de vista social</w:t>
            </w:r>
          </w:p>
          <w:p w:rsidR="00000000" w:rsidDel="00000000" w:rsidP="00000000" w:rsidRDefault="00000000" w:rsidRPr="00000000" w14:paraId="00000097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La historia de la filosofía en cuatro páginas</w:t>
            </w:r>
          </w:p>
          <w:p w:rsidR="00000000" w:rsidDel="00000000" w:rsidP="00000000" w:rsidRDefault="00000000" w:rsidRPr="00000000" w14:paraId="00000099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La utilidad de la filosofía en el siglo XXI</w:t>
            </w:r>
          </w:p>
          <w:p w:rsidR="00000000" w:rsidDel="00000000" w:rsidP="00000000" w:rsidRDefault="00000000" w:rsidRPr="00000000" w14:paraId="0000009B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CUANDO PENSAR SIRVE</w:t>
            </w:r>
          </w:p>
          <w:p w:rsidR="00000000" w:rsidDel="00000000" w:rsidP="00000000" w:rsidRDefault="00000000" w:rsidRPr="00000000" w14:paraId="0000009D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PONTE A PRUEBA</w:t>
            </w:r>
          </w:p>
          <w:p w:rsidR="00000000" w:rsidDel="00000000" w:rsidP="00000000" w:rsidRDefault="00000000" w:rsidRPr="00000000" w14:paraId="0000009F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REPASAR</w:t>
            </w:r>
          </w:p>
          <w:p w:rsidR="00000000" w:rsidDel="00000000" w:rsidP="00000000" w:rsidRDefault="00000000" w:rsidRPr="00000000" w14:paraId="000000A1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" w:before="2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3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1-9</w:t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STEM1, CD1, CC1, CC3, CCEC1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 AHORA TÚ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1-10</w:t>
            </w:r>
          </w:p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CPSAA1.2, CC1, CC3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RELACIONA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AD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CCL5, STEM1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¿SABÍAS QUE…?</w:t>
            </w:r>
          </w:p>
          <w:p w:rsidR="00000000" w:rsidDel="00000000" w:rsidP="00000000" w:rsidRDefault="00000000" w:rsidRPr="00000000" w14:paraId="000000B0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1-2</w:t>
            </w:r>
          </w:p>
          <w:p w:rsidR="00000000" w:rsidDel="00000000" w:rsidP="00000000" w:rsidRDefault="00000000" w:rsidRPr="00000000" w14:paraId="000000B1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CPSAA3.1, CC2, CC3, CCEC1, CCEC3.2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CUANDO PENSAR SIRVE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1-36</w:t>
            </w:r>
          </w:p>
          <w:p w:rsidR="00000000" w:rsidDel="00000000" w:rsidP="00000000" w:rsidRDefault="00000000" w:rsidRPr="00000000" w14:paraId="000000B5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CPSAA3.1, CC2, CC3, CCEC1, CCEC3.2, CD1, CD3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CONTEXTO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CC1, CC3, CCEC1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MÁS DATOS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CCL2, CPSAA1.2, CC1, CC3, CCEC1</w:t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PONTE A PRUEBA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1-28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CPSAA3.1, CPSAA4, CC1, CC2, CC3, CE3, CCEC2, CCEC1, CCEC3.2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1-5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1-4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CC1, CC2, CC3, CE3, CCEC2, CCEC1, CCEC3.2</w:t>
            </w:r>
          </w:p>
          <w:p w:rsidR="00000000" w:rsidDel="00000000" w:rsidP="00000000" w:rsidRDefault="00000000" w:rsidRPr="00000000" w14:paraId="000000C6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 REPASAR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1-16</w:t>
            </w:r>
          </w:p>
          <w:p w:rsidR="00000000" w:rsidDel="00000000" w:rsidP="00000000" w:rsidRDefault="00000000" w:rsidRPr="00000000" w14:paraId="000000C9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CPSAA3.1, CPSAA4, CC1, CC2, CC3, CE3, CCEC2, CCEC1, CCEC3.2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Actividades 1-7</w:t>
            </w:r>
          </w:p>
          <w:p w:rsidR="00000000" w:rsidDel="00000000" w:rsidP="00000000" w:rsidRDefault="00000000" w:rsidRPr="00000000" w14:paraId="000000CB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</w:t>
            </w:r>
          </w:p>
          <w:p w:rsidR="00000000" w:rsidDel="00000000" w:rsidP="00000000" w:rsidRDefault="00000000" w:rsidRPr="00000000" w14:paraId="000000CC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Actividad 1</w:t>
            </w:r>
          </w:p>
          <w:p w:rsidR="00000000" w:rsidDel="00000000" w:rsidP="00000000" w:rsidRDefault="00000000" w:rsidRPr="00000000" w14:paraId="000000CD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CPSAA4, CC1, CC2, CC3, CE3, CCEC2, CCEC1, CCEC3.2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ATRÉVETE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CCL1, CCL2, CCL3, CCL5, STEM1, CD1, CD3, CPSAA1.2, CPSAA3.1, CPSAA4, CC1, CC2, CC3, CE3, CCEC2, CCEC1, CCEC3.2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560" w:top="542" w:left="1701" w:right="1699" w:header="0" w:footer="2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Times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tabs>
        <w:tab w:val="right" w:leader="none" w:pos="10065"/>
      </w:tabs>
      <w:rPr>
        <w:rFonts w:ascii="Times" w:cs="Times" w:eastAsia="Times" w:hAnsi="Times"/>
      </w:rPr>
    </w:pPr>
    <w:r w:rsidDel="00000000" w:rsidR="00000000" w:rsidRPr="00000000">
      <w:rPr>
        <w:rFonts w:ascii="Verdana" w:cs="Verdana" w:eastAsia="Verdana" w:hAnsi="Verdana"/>
        <w:color w:val="808080"/>
        <w:sz w:val="18"/>
        <w:szCs w:val="18"/>
        <w:rtl w:val="0"/>
      </w:rPr>
      <w:br w:type="textWrapping"/>
    </w:r>
    <w:r w:rsidDel="00000000" w:rsidR="00000000" w:rsidRPr="00000000">
      <w:rPr>
        <w:color w:val="808080"/>
        <w:sz w:val="18"/>
        <w:szCs w:val="18"/>
        <w:rtl w:val="0"/>
      </w:rPr>
      <w:t xml:space="preserve">    </w:t>
    </w:r>
    <w:r w:rsidDel="00000000" w:rsidR="00000000" w:rsidRPr="00000000">
      <w:rPr>
        <w:rFonts w:ascii="Verdana" w:cs="Verdana" w:eastAsia="Verdana" w:hAnsi="Verdana"/>
        <w:b w:val="1"/>
        <w:bCs w:val="1"/>
        <w:color w:val="545454"/>
        <w:sz w:val="16"/>
        <w:szCs w:val="16"/>
        <w:highlight w:val="white"/>
        <w:rtl w:val="0"/>
      </w:rPr>
      <w:t xml:space="preserve">© </w:t>
    </w:r>
    <w:r w:rsidDel="00000000" w:rsidR="00000000" w:rsidRPr="00000000">
      <w:rPr>
        <w:rFonts w:ascii="Verdana" w:cs="Verdana" w:eastAsia="Verdana" w:hAnsi="Verdana"/>
        <w:b w:val="1"/>
        <w:bCs w:val="1"/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t xml:space="preserve">-1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49530</wp:posOffset>
          </wp:positionV>
          <wp:extent cx="304800" cy="304800"/>
          <wp:effectExtent b="0" l="0" r="0" t="0"/>
          <wp:wrapSquare wrapText="bothSides" distB="0" distT="0" distL="114300" distR="114300"/>
          <wp:docPr descr="Icono&#10;&#10;Descripción generada automáticamente con confianza baja" id="56" name="image1.jpg"/>
          <a:graphic>
            <a:graphicData uri="http://schemas.openxmlformats.org/drawingml/2006/picture">
              <pic:pic>
                <pic:nvPicPr>
                  <pic:cNvPr descr="Icono&#10;&#10;Descripción generada automáticamente con confianza baj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Programación de aula </w:t>
    </w:r>
    <w:r w:rsidDel="00000000" w:rsidR="00000000" w:rsidRPr="00000000">
      <w:rPr>
        <w:rFonts w:ascii="Verdana" w:cs="Verdana" w:eastAsia="Verdana" w:hAnsi="Verdana"/>
        <w:color w:val="808080"/>
        <w:sz w:val="16"/>
        <w:szCs w:val="16"/>
        <w:rtl w:val="0"/>
      </w:rPr>
      <w:t xml:space="preserve">Filosofía </w:t>
    </w: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1º bachillerato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left"/>
      <w:rPr>
        <w:rFonts w:ascii="Rasa" w:cs="Rasa" w:eastAsia="Rasa" w:hAnsi="Rasa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tabs>
        <w:tab w:val="right" w:leader="none" w:pos="10080"/>
      </w:tabs>
      <w:spacing w:after="0" w:lineRule="auto"/>
      <w:jc w:val="left"/>
      <w:rPr>
        <w:rFonts w:ascii="Verdana" w:cs="Verdana" w:eastAsia="Verdana" w:hAnsi="Verdana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000000"/>
        <w:sz w:val="24"/>
        <w:szCs w:val="24"/>
        <w:rtl w:val="0"/>
      </w:rPr>
      <w:tab/>
    </w:r>
  </w:p>
  <w:p w:rsidR="00000000" w:rsidDel="00000000" w:rsidP="00000000" w:rsidRDefault="00000000" w:rsidRPr="00000000" w14:paraId="000000E6">
    <w:pPr>
      <w:tabs>
        <w:tab w:val="left" w:leader="none" w:pos="1440"/>
      </w:tabs>
      <w:spacing w:after="0" w:lineRule="auto"/>
      <w:jc w:val="left"/>
      <w:rPr>
        <w:rFonts w:ascii="Verdana" w:cs="Verdana" w:eastAsia="Verdana" w:hAnsi="Verdana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tabs>
        <w:tab w:val="left" w:leader="none" w:pos="720"/>
      </w:tabs>
      <w:spacing w:after="0" w:lineRule="auto"/>
      <w:jc w:val="left"/>
      <w:rPr>
        <w:color w:val="cd94b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cd94b4"/>
        <w:sz w:val="40"/>
        <w:szCs w:val="40"/>
        <w:rtl w:val="0"/>
      </w:rPr>
      <w:t xml:space="preserve">Programación de aula – Unidad 1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sa" w:cs="Rasa" w:eastAsia="Rasa" w:hAnsi="Ras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rsid w:val="001702D2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paragraph" w:styleId="ListParagraph">
    <w:name w:val="List Paragraph"/>
    <w:basedOn w:val="Normal"/>
    <w:uiPriority w:val="34"/>
    <w:qFormat w:val="1"/>
    <w:rsid w:val="001702D2"/>
    <w:pPr>
      <w:ind w:left="708"/>
    </w:pPr>
  </w:style>
  <w:style w:type="character" w:styleId="ng-directive" w:customStyle="1">
    <w:name w:val="ng-directive"/>
    <w:basedOn w:val="DefaultParagraphFont"/>
    <w:rsid w:val="001702D2"/>
  </w:style>
  <w:style w:type="paragraph" w:styleId="TIT1" w:customStyle="1">
    <w:name w:val="_TIT1"/>
    <w:basedOn w:val="Normal"/>
    <w:link w:val="TIT1Car"/>
    <w:qFormat w:val="1"/>
    <w:rsid w:val="001702D2"/>
    <w:pPr>
      <w:spacing w:before="360"/>
    </w:pPr>
    <w:rPr>
      <w:rFonts w:ascii="Verdana" w:hAnsi="Verdana"/>
      <w:b w:val="1"/>
      <w:bCs w:val="1"/>
      <w:sz w:val="44"/>
      <w:szCs w:val="44"/>
      <w:lang w:val="en-US"/>
    </w:rPr>
  </w:style>
  <w:style w:type="character" w:styleId="TIT1Car" w:customStyle="1">
    <w:name w:val="_TIT1 Car"/>
    <w:basedOn w:val="DefaultParagraphFont"/>
    <w:link w:val="TIT1"/>
    <w:rsid w:val="001702D2"/>
    <w:rPr>
      <w:rFonts w:ascii="Verdana" w:cs="Times New Roman" w:eastAsia="Times New Roman" w:hAnsi="Verdana"/>
      <w:b w:val="1"/>
      <w:bCs w:val="1"/>
      <w:sz w:val="44"/>
      <w:szCs w:val="44"/>
      <w:lang w:eastAsia="es-ES" w:val="en-US"/>
    </w:rPr>
  </w:style>
  <w:style w:type="paragraph" w:styleId="Prrafodelista1" w:customStyle="1">
    <w:name w:val="Párrafo de lista1"/>
    <w:basedOn w:val="Normal"/>
    <w:uiPriority w:val="99"/>
    <w:qFormat w:val="1"/>
    <w:rsid w:val="001702D2"/>
    <w:pPr>
      <w:ind w:left="708"/>
    </w:pPr>
    <w:rPr>
      <w:rFonts w:cs="SRA Sans 1.0"/>
      <w:sz w:val="24"/>
      <w:szCs w:val="24"/>
      <w:lang w:val="es-ES_tradnl"/>
    </w:rPr>
  </w:style>
  <w:style w:type="paragraph" w:styleId="TABLAtxtnegraTABLA" w:customStyle="1">
    <w:name w:val="TABLA _txt negra (TABLA)"/>
    <w:basedOn w:val="Normal"/>
    <w:uiPriority w:val="99"/>
    <w:rsid w:val="001702D2"/>
    <w:pPr>
      <w:tabs>
        <w:tab w:val="left" w:pos="283"/>
      </w:tabs>
      <w:autoSpaceDE w:val="0"/>
      <w:autoSpaceDN w:val="0"/>
      <w:adjustRightInd w:val="0"/>
      <w:spacing w:after="113" w:line="240" w:lineRule="atLeast"/>
      <w:textAlignment w:val="center"/>
    </w:pPr>
    <w:rPr>
      <w:rFonts w:ascii="ClanPro-CondNews" w:cs="ClanPro-CondNews" w:eastAsia="MS Mincho" w:hAnsi="ClanPro-CondNews"/>
      <w:color w:val="000000"/>
      <w:sz w:val="24"/>
      <w:szCs w:val="24"/>
      <w:lang w:val="es-ES_tradnl"/>
    </w:rPr>
  </w:style>
  <w:style w:type="character" w:styleId="TABLAnegraTABLA" w:customStyle="1">
    <w:name w:val="TABLA_negra (TABLA)"/>
    <w:uiPriority w:val="99"/>
    <w:rsid w:val="001702D2"/>
    <w:rPr>
      <w:rFonts w:ascii="ClanPro-CondNews" w:hAnsi="ClanPro-CondNews"/>
      <w:sz w:val="20"/>
    </w:rPr>
  </w:style>
  <w:style w:type="paragraph" w:styleId="NormalWeb">
    <w:name w:val="Normal (Web)"/>
    <w:basedOn w:val="Normal"/>
    <w:uiPriority w:val="99"/>
    <w:rsid w:val="001702D2"/>
    <w:pPr>
      <w:spacing w:afterLines="1" w:beforeLines="1"/>
      <w:jc w:val="left"/>
    </w:pPr>
    <w:rPr>
      <w:rFonts w:ascii="Times" w:cs="Times" w:hAnsi="Times"/>
      <w:sz w:val="24"/>
      <w:szCs w:val="24"/>
      <w:lang w:eastAsia="en-US" w:val="en-US"/>
    </w:rPr>
  </w:style>
  <w:style w:type="paragraph" w:styleId="OmniPage9" w:customStyle="1">
    <w:name w:val="OmniPage #9"/>
    <w:basedOn w:val="Normal"/>
    <w:uiPriority w:val="99"/>
    <w:rsid w:val="001702D2"/>
    <w:pPr>
      <w:tabs>
        <w:tab w:val="left" w:pos="60"/>
      </w:tabs>
      <w:suppressAutoHyphens w:val="1"/>
      <w:autoSpaceDE w:val="0"/>
      <w:spacing w:after="0" w:line="286" w:lineRule="atLeast"/>
      <w:ind w:left="1425" w:right="45"/>
    </w:pPr>
    <w:rPr>
      <w:rFonts w:ascii="Arial" w:cs="Arial" w:hAnsi="Arial"/>
      <w:szCs w:val="20"/>
      <w:lang w:eastAsia="ar-SA" w:val="en-US"/>
    </w:rPr>
  </w:style>
  <w:style w:type="paragraph" w:styleId="Pa6" w:customStyle="1">
    <w:name w:val="Pa6"/>
    <w:basedOn w:val="Normal"/>
    <w:next w:val="Normal"/>
    <w:uiPriority w:val="99"/>
    <w:rsid w:val="001702D2"/>
    <w:pPr>
      <w:autoSpaceDE w:val="0"/>
      <w:autoSpaceDN w:val="0"/>
      <w:adjustRightInd w:val="0"/>
      <w:spacing w:after="0" w:line="201" w:lineRule="atLeast"/>
      <w:jc w:val="left"/>
    </w:pPr>
    <w:rPr>
      <w:rFonts w:ascii="Arial" w:cs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1702D2"/>
    <w:pPr>
      <w:tabs>
        <w:tab w:val="center" w:pos="4252"/>
        <w:tab w:val="right" w:pos="8504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1702D2"/>
    <w:rPr>
      <w:rFonts w:ascii="SRA Sans 1.0" w:cs="Times New Roman" w:eastAsia="Times New Roman" w:hAnsi="SRA Sans 1.0"/>
      <w:sz w:val="20"/>
      <w:szCs w:val="22"/>
      <w:lang w:eastAsia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TkKs0vHZUehK0rZP5W/K7Ku/w==">CgMxLjA4AHIhMTJHbWE0b21uVXIzQ2RzS2xYZ1YzTmlYU2hWZUQ2QTNH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C61F21E-9A66-4A8B-A476-681FDE78A3BB}"/>
</file>

<file path=customXML/itemProps3.xml><?xml version="1.0" encoding="utf-8"?>
<ds:datastoreItem xmlns:ds="http://schemas.openxmlformats.org/officeDocument/2006/customXml" ds:itemID="{E8E412E8-D7A0-449F-A66E-345272F8BFF5}"/>
</file>

<file path=customXML/itemProps4.xml><?xml version="1.0" encoding="utf-8"?>
<ds:datastoreItem xmlns:ds="http://schemas.openxmlformats.org/officeDocument/2006/customXml" ds:itemID="{DC80ACD9-ED1D-4F10-8F92-463D5A0BA00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 Victoria de la Iglesia Meleiro</dc:creator>
  <dcterms:created xsi:type="dcterms:W3CDTF">2022-06-13T09:05:00Z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